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附件5</w:t>
      </w:r>
    </w:p>
    <w:tbl>
      <w:tblPr>
        <w:tblStyle w:val="3"/>
        <w:tblW w:w="141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3"/>
        <w:gridCol w:w="1531"/>
        <w:gridCol w:w="8722"/>
        <w:gridCol w:w="537"/>
        <w:gridCol w:w="492"/>
        <w:gridCol w:w="495"/>
        <w:gridCol w:w="495"/>
        <w:gridCol w:w="5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357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广州市增城区新塘镇中心卫生院2026年重点人群健康管理数据采集及处理服务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评分表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303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评审因素</w:t>
            </w:r>
          </w:p>
        </w:tc>
        <w:tc>
          <w:tcPr>
            <w:tcW w:w="10253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评审标准</w:t>
            </w:r>
          </w:p>
        </w:tc>
        <w:tc>
          <w:tcPr>
            <w:tcW w:w="261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0253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单位1</w:t>
            </w: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单位2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单位3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单位4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商务部分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（20分）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同类项目经验(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分)</w:t>
            </w: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以上基层医疗机构合作开展基本公共卫生信息采集服务项目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得10分，2家的得5分，1家的得2分，没有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基层医疗机构合作开展基本公共卫生信息采集服务项目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得0分</w:t>
            </w:r>
          </w:p>
        </w:tc>
        <w:tc>
          <w:tcPr>
            <w:tcW w:w="53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应急售后服务 (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分)</w:t>
            </w: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响应时间30分钟内并在当天可以处理医院反馈问题得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响应时间6小时内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的得5分，相应时间超过6小时的得0分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0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2.技术部分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（50分）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专利情况 (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分）</w:t>
            </w: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公卫体检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、居民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建档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、慢病随访、家庭医生签约、妇幼保健、健康教育、卫生监督协管、肺结核随访，每个项目2分，公卫专项（三高共管、老年人痴呆筛查、糖尿病筛查、大肠癌筛查等）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每项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分，总计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项目开发模块（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分）</w:t>
            </w: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智能建档，体检登记，体检统计，个人工作量统计，智能随访，家庭签约，家医履约，体检报告，随访季度统计，大肠癌筛查，慢病管理，儿童体检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统计，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卫生监督协管巡查、肺结核建档随访，三高共管，产后访视等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（每个模块0.5分，共8分）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系统数据能对接His系统、公卫系统等，2分。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数据的安全可靠性（10分）</w:t>
            </w: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医院独立数据库，医院独立的数据管理后台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，可靠得10分，一般可靠得5分，未达到要求的得0分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产品的优势(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0分)</w:t>
            </w: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1.服务好(人力支持和公卫服务的专业程度体现)，该项4分。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2.个性化(技术配合度高，医院个性化需求的满足)，该项4分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3.公卫服务规范化(体检服务流程标准化，体检报告专业化)，该项4分。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4.血压、血糖、胆固醇等异常指标预警，可以预警给家庭医生和家庭签约团队。该项4分。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30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3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5.化验单识别，异常指标可以预警给乡医、家庭签约团队，真正起到辖区内慢非老人及适龄慢病患者疾病监控、预防、及有效治疗。该项4分。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3.报价部分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价格得分(30.0分)</w:t>
            </w:r>
          </w:p>
        </w:tc>
        <w:tc>
          <w:tcPr>
            <w:tcW w:w="87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最低价者，得30分，第二低价者得2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分，如此类推，每降一个等级，少</w:t>
            </w:r>
            <w:r>
              <w:rPr>
                <w:rFonts w:hint="eastAsia" w:ascii="仿宋_GB2312" w:hAnsi="宋体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分。</w:t>
            </w:r>
          </w:p>
        </w:tc>
        <w:tc>
          <w:tcPr>
            <w:tcW w:w="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587" w:right="2154" w:bottom="1474" w:left="2041" w:header="851" w:footer="992" w:gutter="0"/>
      <w:cols w:space="0" w:num="1"/>
      <w:rtlGutter w:val="0"/>
      <w:docGrid w:type="lines" w:linePitch="44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A4BE10"/>
    <w:multiLevelType w:val="singleLevel"/>
    <w:tmpl w:val="BDA4BE1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9C5DF0"/>
    <w:rsid w:val="569C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2026-02-05T03:32:00Z</dcterms:created>
  <dc:creator>XTYYDNS</dc:creator>
  <cp:lastModifiedBy>XTYYDNS</cp:lastModifiedBy>
  <dcterms:modified xsi:type="dcterms:W3CDTF">2026-02-05T03:33:05Z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6E84474CAA2A4F2C8370F1259FA9C553</vt:lpwstr>
  </property>
</Properties>
</file>