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rPr>
          <w:rFonts w:hint="default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附件5</w:t>
      </w:r>
      <w:bookmarkStart w:id="0" w:name="_GoBack"/>
      <w:bookmarkEnd w:id="0"/>
    </w:p>
    <w:tbl>
      <w:tblPr>
        <w:tblStyle w:val="3"/>
        <w:tblW w:w="12859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08"/>
        <w:gridCol w:w="1408"/>
        <w:gridCol w:w="7352"/>
        <w:gridCol w:w="520"/>
        <w:gridCol w:w="796"/>
        <w:gridCol w:w="520"/>
        <w:gridCol w:w="535"/>
        <w:gridCol w:w="52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535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36"/>
                <w:szCs w:val="36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  <w:t>广州市增城区新塘镇中心卫生院2026年重点人群健康管理数据采集及处理服务评分表</w:t>
            </w:r>
          </w:p>
        </w:tc>
        <w:tc>
          <w:tcPr>
            <w:tcW w:w="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36"/>
                <w:szCs w:val="36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208" w:type="dxa"/>
            <w:vMerge w:val="restart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评审因素</w:t>
            </w:r>
          </w:p>
        </w:tc>
        <w:tc>
          <w:tcPr>
            <w:tcW w:w="7352" w:type="dxa"/>
            <w:gridSpan w:val="2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评审标准</w:t>
            </w:r>
          </w:p>
        </w:tc>
        <w:tc>
          <w:tcPr>
            <w:tcW w:w="535" w:type="dxa"/>
            <w:gridSpan w:val="5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得分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208" w:type="dxa"/>
            <w:vMerge w:val="continue"/>
            <w:tcBorders>
              <w:top w:val="single" w:color="000000" w:sz="4" w:space="0"/>
              <w:left w:val="single" w:color="000000" w:sz="4" w:space="0"/>
              <w:bottom w:val="nil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7352" w:type="dxa"/>
            <w:gridSpan w:val="2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单位1</w:t>
            </w: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单位2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单位3</w:t>
            </w:r>
          </w:p>
        </w:tc>
        <w:tc>
          <w:tcPr>
            <w:tcW w:w="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单位4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center"/>
              <w:textAlignment w:val="center"/>
              <w:rPr>
                <w:rFonts w:hint="default" w:ascii="仿宋_GB2312" w:hAnsi="宋体" w:eastAsia="仿宋_GB2312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仿宋_GB2312" w:hAnsi="宋体" w:cs="仿宋_GB2312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单位5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1"/>
              </w:numPr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商务部分（20分）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同类项目经验(10分)</w:t>
            </w:r>
          </w:p>
        </w:tc>
        <w:tc>
          <w:tcPr>
            <w:tcW w:w="73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有3家及以上基层医疗机构合作开展基本公共卫生信息采集服务项目得10分，2家的得5分，1家的得2分，没有基层医疗机构合作开展基本公共卫生信息采集服务项目得0分</w:t>
            </w:r>
          </w:p>
        </w:tc>
        <w:tc>
          <w:tcPr>
            <w:tcW w:w="520" w:type="dxa"/>
            <w:tcBorders>
              <w:top w:val="nil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应急售后服务 (10分)</w:t>
            </w:r>
          </w:p>
        </w:tc>
        <w:tc>
          <w:tcPr>
            <w:tcW w:w="73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响应时间30分钟内并在当天可以处理医院反馈问题得10分，响应时间6小时内的得5分，相应时间超过6小时的得0分。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2.技术部分（50分）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专利情况 (20分）</w:t>
            </w:r>
          </w:p>
        </w:tc>
        <w:tc>
          <w:tcPr>
            <w:tcW w:w="73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公卫体检、居民建档、慢病随访、家庭医生签约、妇幼保健、健康教育、卫生监督协管、肺结核随访，每个项目2分，公卫专项（三高共管、老年人痴呆筛查、糖尿病筛查、大肠癌筛查等）每项1分，总计20分。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项目开发模块（10分）</w:t>
            </w:r>
          </w:p>
        </w:tc>
        <w:tc>
          <w:tcPr>
            <w:tcW w:w="73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智能建档，体检登记，体检统计，个人工作量统计，智能随访，家庭签约，家医履约，体检报告，随访季度统计，大肠癌筛查，慢病管理，儿童体检及统计，卫生监督协管巡查、肺结核建档随访，三高共管，产后访视等（每个模块0.5分，共8分）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3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系统数据能对接His系统、公卫系统、b超及心电图端口，每能对接一个系统或者端口，得0.5分。满分2分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数据的安全可靠性（10分）</w:t>
            </w:r>
          </w:p>
        </w:tc>
        <w:tc>
          <w:tcPr>
            <w:tcW w:w="73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default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  <w:lang w:val="en-US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医院独立数据库，医院独立的数据管理后台，可靠得10分，一般可靠得5分，未达到要求的得0分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0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产品的优势(10分)</w:t>
            </w:r>
          </w:p>
        </w:tc>
        <w:tc>
          <w:tcPr>
            <w:tcW w:w="73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1.服务好(人力支持和公卫服务的专业程度体现)，该项2分。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3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2.个性化(技术配合度高，医院个性化需求的满足)，该项2分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3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3.公卫服务规范化(体检服务流程标准化，体检报告专业化)，该项2分。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3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4.血压、血糖、胆固醇等异常指标预警，可以预警给家庭医生和家庭签约团队。该项2分。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140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left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3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5.化验单识别，异常指标可以预警给乡医、家庭签约团队，真正起到辖区内老人及适龄慢病患者疾病监控、预防、及有效治疗。该项2分。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0" w:hRule="atLeast"/>
          <w:jc w:val="center"/>
        </w:trPr>
        <w:tc>
          <w:tcPr>
            <w:tcW w:w="12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3.报价部分</w:t>
            </w:r>
          </w:p>
        </w:tc>
        <w:tc>
          <w:tcPr>
            <w:tcW w:w="140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价格得分(30.0分)</w:t>
            </w:r>
          </w:p>
        </w:tc>
        <w:tc>
          <w:tcPr>
            <w:tcW w:w="73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snapToGrid w:val="0"/>
              <w:ind w:left="0" w:leftChars="0" w:right="0" w:rightChars="0" w:firstLine="0" w:firstLineChars="0"/>
              <w:jc w:val="left"/>
              <w:textAlignment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仿宋_GB2312" w:hAnsi="宋体" w:eastAsia="仿宋_GB2312" w:cs="仿宋_GB2312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最低价者，得30分，第二低价者得24分，如此类推，每降一个等级，少6分。</w:t>
            </w: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79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3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5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snapToGrid w:val="0"/>
              <w:ind w:left="0" w:leftChars="0" w:right="0" w:rightChars="0" w:firstLine="0" w:firstLineChars="0"/>
              <w:jc w:val="center"/>
              <w:rPr>
                <w:rFonts w:hint="eastAsia" w:ascii="仿宋_GB2312" w:hAnsi="宋体" w:eastAsia="仿宋_GB2312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</w:tr>
    </w:tbl>
    <w:p>
      <w:pPr>
        <w:pStyle w:val="2"/>
        <w:rPr>
          <w:rFonts w:hint="eastAsia"/>
          <w:b/>
          <w:bCs/>
          <w:sz w:val="24"/>
          <w:szCs w:val="22"/>
          <w:lang w:eastAsia="zh-CN"/>
        </w:rPr>
      </w:pPr>
    </w:p>
    <w:p/>
    <w:sectPr>
      <w:pgSz w:w="16838" w:h="11906" w:orient="landscape"/>
      <w:pgMar w:top="1587" w:right="2154" w:bottom="1474" w:left="2041" w:header="851" w:footer="992" w:gutter="0"/>
      <w:cols w:space="0" w:num="1"/>
      <w:rtlGutter w:val="0"/>
      <w:docGrid w:type="lines" w:linePitch="44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DA4BE10"/>
    <w:multiLevelType w:val="singleLevel"/>
    <w:tmpl w:val="BDA4BE10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F03D1B"/>
    <w:rsid w:val="3BCB6F86"/>
    <w:rsid w:val="66F03D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仿宋_GB2312" w:cstheme="minorBidi"/>
      <w:kern w:val="2"/>
      <w:sz w:val="32"/>
      <w:szCs w:val="3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line="360" w:lineRule="auto"/>
    </w:pPr>
    <w:rPr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Office_11.8.2.12118_F1E327BC-269C-435d-A152-05C5408002CA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2026-02-11T02:51:00Z</dcterms:created>
  <dc:creator>XTYYDNS</dc:creator>
  <cp:lastModifiedBy>XTYYDNS</cp:lastModifiedBy>
  <dcterms:modified xsi:type="dcterms:W3CDTF">2026-02-11T03:00:08Z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2052-11.8.2.12118</vt:lpwstr>
  </property>
  <property fmtid="{D5CDD505-2E9C-101B-9397-08002B2CF9AE}" pid="3" name="ICV">
    <vt:lpwstr>F0C642EDCACB41768F0FED98266CF3DF</vt:lpwstr>
  </property>
</Properties>
</file>