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B67C0E">
      <w:pPr>
        <w:keepNext w:val="0"/>
        <w:keepLines w:val="0"/>
        <w:pageBreakBefore w:val="0"/>
        <w:widowControl w:val="0"/>
        <w:kinsoku/>
        <w:wordWrap/>
        <w:overflowPunct/>
        <w:topLinePunct w:val="0"/>
        <w:autoSpaceDE/>
        <w:autoSpaceDN/>
        <w:bidi w:val="0"/>
        <w:adjustRightInd/>
        <w:snapToGrid/>
        <w:jc w:val="both"/>
        <w:textAlignment w:val="auto"/>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附件1</w:t>
      </w:r>
    </w:p>
    <w:p w14:paraId="6C0DC36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_GBK" w:hAnsi="方正小标宋_GBK" w:eastAsia="方正小标宋_GBK" w:cs="方正小标宋_GBK"/>
          <w:b w:val="0"/>
          <w:bCs w:val="0"/>
          <w:spacing w:val="0"/>
          <w:sz w:val="44"/>
          <w:szCs w:val="44"/>
          <w:lang w:val="en-US" w:eastAsia="zh-CN"/>
        </w:rPr>
      </w:pPr>
      <w:r>
        <w:rPr>
          <w:rFonts w:hint="eastAsia" w:ascii="方正小标宋_GBK" w:hAnsi="方正小标宋_GBK" w:eastAsia="方正小标宋_GBK" w:cs="方正小标宋_GBK"/>
          <w:b w:val="0"/>
          <w:bCs w:val="0"/>
          <w:spacing w:val="0"/>
          <w:sz w:val="44"/>
          <w:szCs w:val="44"/>
          <w:lang w:val="en-US" w:eastAsia="zh-CN"/>
        </w:rPr>
        <w:t>人事档案数字化服务采购需求</w:t>
      </w:r>
    </w:p>
    <w:p w14:paraId="601AA22D">
      <w:pPr>
        <w:keepNext w:val="0"/>
        <w:keepLines w:val="0"/>
        <w:pageBreakBefore w:val="0"/>
        <w:widowControl w:val="0"/>
        <w:kinsoku/>
        <w:wordWrap/>
        <w:overflowPunct/>
        <w:topLinePunct w:val="0"/>
        <w:autoSpaceDE/>
        <w:autoSpaceDN/>
        <w:bidi w:val="0"/>
        <w:adjustRightInd/>
        <w:snapToGrid/>
        <w:spacing w:line="560" w:lineRule="exact"/>
        <w:ind w:left="0" w:firstLine="612" w:firstLineChars="200"/>
        <w:textAlignment w:val="auto"/>
        <w:outlineLvl w:val="1"/>
        <w:rPr>
          <w:rFonts w:hint="eastAsia" w:ascii="Times New Roman" w:hAnsi="Times New Roman" w:eastAsia="黑体" w:cs="Times New Roman"/>
          <w:spacing w:val="0"/>
          <w:sz w:val="32"/>
          <w:szCs w:val="32"/>
          <w:lang w:val="en-US" w:eastAsia="zh-CN"/>
        </w:rPr>
      </w:pPr>
    </w:p>
    <w:p w14:paraId="26BEEF71">
      <w:pPr>
        <w:keepNext w:val="0"/>
        <w:keepLines w:val="0"/>
        <w:pageBreakBefore w:val="0"/>
        <w:widowControl w:val="0"/>
        <w:kinsoku/>
        <w:wordWrap/>
        <w:overflowPunct/>
        <w:topLinePunct w:val="0"/>
        <w:autoSpaceDE/>
        <w:autoSpaceDN/>
        <w:bidi w:val="0"/>
        <w:adjustRightInd/>
        <w:snapToGrid/>
        <w:spacing w:line="560" w:lineRule="exact"/>
        <w:ind w:left="0" w:firstLine="612" w:firstLineChars="200"/>
        <w:textAlignment w:val="auto"/>
        <w:outlineLvl w:val="1"/>
        <w:rPr>
          <w:rFonts w:hint="default" w:ascii="Times New Roman" w:hAnsi="Times New Roman" w:eastAsia="黑体" w:cs="Times New Roman"/>
          <w:spacing w:val="0"/>
          <w:sz w:val="32"/>
          <w:szCs w:val="32"/>
          <w:lang w:val="en-US" w:eastAsia="zh-CN"/>
        </w:rPr>
      </w:pPr>
      <w:r>
        <w:rPr>
          <w:rFonts w:hint="eastAsia" w:ascii="Times New Roman" w:hAnsi="Times New Roman" w:eastAsia="黑体" w:cs="Times New Roman"/>
          <w:spacing w:val="0"/>
          <w:sz w:val="32"/>
          <w:szCs w:val="32"/>
          <w:lang w:val="en-US" w:eastAsia="zh-CN"/>
        </w:rPr>
        <w:t>一、采购内容</w:t>
      </w:r>
    </w:p>
    <w:p w14:paraId="2E07B194">
      <w:pPr>
        <w:pStyle w:val="6"/>
        <w:keepNext w:val="0"/>
        <w:keepLines w:val="0"/>
        <w:pageBreakBefore w:val="0"/>
        <w:widowControl w:val="0"/>
        <w:numPr>
          <w:ilvl w:val="0"/>
          <w:numId w:val="0"/>
        </w:numPr>
        <w:tabs>
          <w:tab w:val="left" w:pos="1907"/>
        </w:tabs>
        <w:kinsoku/>
        <w:wordWrap/>
        <w:overflowPunct/>
        <w:topLinePunct w:val="0"/>
        <w:autoSpaceDE/>
        <w:autoSpaceDN/>
        <w:bidi w:val="0"/>
        <w:adjustRightInd/>
        <w:snapToGrid/>
        <w:spacing w:after="0" w:line="560" w:lineRule="exact"/>
        <w:ind w:left="0" w:leftChars="0" w:right="0" w:rightChars="0" w:firstLine="612" w:firstLineChars="200"/>
        <w:jc w:val="left"/>
        <w:textAlignment w:val="auto"/>
        <w:rPr>
          <w:rFonts w:hint="eastAsia" w:ascii="Times New Roman" w:hAnsi="Times New Roman" w:eastAsia="仿宋_GB2312" w:cs="Times New Roman"/>
          <w:spacing w:val="0"/>
          <w:sz w:val="32"/>
          <w:szCs w:val="32"/>
          <w:lang w:val="en-US" w:eastAsia="zh-CN"/>
        </w:rPr>
      </w:pPr>
      <w:r>
        <w:rPr>
          <w:rFonts w:hint="eastAsia" w:ascii="Times New Roman" w:hAnsi="Times New Roman" w:eastAsia="仿宋_GB2312" w:cs="Times New Roman"/>
          <w:spacing w:val="0"/>
          <w:sz w:val="32"/>
          <w:szCs w:val="32"/>
          <w:lang w:val="en-US" w:eastAsia="zh-CN"/>
        </w:rPr>
        <w:t>为我院260份人事档案提供数字化服务。</w:t>
      </w:r>
    </w:p>
    <w:p w14:paraId="64710912">
      <w:pPr>
        <w:pStyle w:val="5"/>
        <w:keepNext w:val="0"/>
        <w:keepLines w:val="0"/>
        <w:pageBreakBefore w:val="0"/>
        <w:widowControl w:val="0"/>
        <w:kinsoku/>
        <w:wordWrap/>
        <w:overflowPunct/>
        <w:topLinePunct w:val="0"/>
        <w:autoSpaceDE/>
        <w:autoSpaceDN/>
        <w:bidi w:val="0"/>
        <w:adjustRightInd/>
        <w:snapToGrid/>
        <w:spacing w:line="560" w:lineRule="exact"/>
        <w:ind w:left="0" w:firstLine="612" w:firstLineChars="200"/>
        <w:textAlignment w:val="auto"/>
        <w:rPr>
          <w:rFonts w:hint="default" w:ascii="Times New Roman" w:hAnsi="Times New Roman" w:eastAsia="黑体" w:cs="Times New Roman"/>
          <w:spacing w:val="0"/>
          <w:kern w:val="2"/>
          <w:sz w:val="32"/>
          <w:szCs w:val="32"/>
          <w:lang w:val="en-US" w:eastAsia="zh-CN" w:bidi="ar-SA"/>
        </w:rPr>
      </w:pPr>
      <w:r>
        <w:rPr>
          <w:rFonts w:hint="eastAsia" w:ascii="Times New Roman" w:hAnsi="Times New Roman" w:eastAsia="黑体" w:cs="Times New Roman"/>
          <w:spacing w:val="0"/>
          <w:kern w:val="2"/>
          <w:sz w:val="32"/>
          <w:szCs w:val="32"/>
          <w:lang w:val="en-US" w:eastAsia="zh-CN" w:bidi="ar-SA"/>
        </w:rPr>
        <w:t>二、采购预算</w:t>
      </w:r>
    </w:p>
    <w:p w14:paraId="17932CFE">
      <w:pPr>
        <w:keepNext w:val="0"/>
        <w:keepLines w:val="0"/>
        <w:pageBreakBefore w:val="0"/>
        <w:widowControl w:val="0"/>
        <w:kinsoku/>
        <w:wordWrap/>
        <w:overflowPunct/>
        <w:topLinePunct w:val="0"/>
        <w:autoSpaceDE/>
        <w:autoSpaceDN/>
        <w:bidi w:val="0"/>
        <w:adjustRightInd/>
        <w:snapToGrid/>
        <w:spacing w:line="560" w:lineRule="exact"/>
        <w:ind w:left="0" w:firstLine="612" w:firstLineChars="200"/>
        <w:textAlignment w:val="auto"/>
        <w:outlineLvl w:val="1"/>
        <w:rPr>
          <w:rFonts w:hint="default" w:ascii="Times New Roman" w:hAnsi="Times New Roman" w:eastAsia="仿宋_GB2312" w:cs="Times New Roman"/>
          <w:spacing w:val="0"/>
          <w:kern w:val="2"/>
          <w:sz w:val="32"/>
          <w:szCs w:val="32"/>
          <w:lang w:val="en-US" w:eastAsia="zh-CN" w:bidi="ar-SA"/>
        </w:rPr>
      </w:pPr>
      <w:r>
        <w:rPr>
          <w:rFonts w:hint="eastAsia" w:ascii="Times New Roman" w:hAnsi="Times New Roman" w:eastAsia="仿宋_GB2312" w:cs="Times New Roman"/>
          <w:spacing w:val="0"/>
          <w:kern w:val="2"/>
          <w:sz w:val="32"/>
          <w:szCs w:val="32"/>
          <w:lang w:val="en-US" w:eastAsia="zh-CN" w:bidi="ar-SA"/>
        </w:rPr>
        <w:t>本次采购预算为人民币：54600元（最高单价限价210元/份，其中包含“干部人事档案数字化”180元/份及“档案信息提取及录入”30元/份）。</w:t>
      </w:r>
    </w:p>
    <w:p w14:paraId="5DE8E78F">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firstLine="612" w:firstLineChars="200"/>
        <w:textAlignment w:val="auto"/>
        <w:outlineLvl w:val="1"/>
        <w:rPr>
          <w:rFonts w:hint="eastAsia" w:ascii="Times New Roman" w:hAnsi="Times New Roman" w:eastAsia="黑体" w:cs="Times New Roman"/>
          <w:color w:val="auto"/>
          <w:spacing w:val="0"/>
          <w:sz w:val="32"/>
          <w:szCs w:val="32"/>
          <w:lang w:val="en-US" w:eastAsia="zh-CN"/>
        </w:rPr>
      </w:pPr>
      <w:r>
        <w:rPr>
          <w:rFonts w:hint="eastAsia" w:ascii="Times New Roman" w:hAnsi="Times New Roman" w:eastAsia="黑体" w:cs="Times New Roman"/>
          <w:color w:val="auto"/>
          <w:spacing w:val="0"/>
          <w:sz w:val="32"/>
          <w:szCs w:val="32"/>
          <w:lang w:val="en-US" w:eastAsia="zh-CN"/>
        </w:rPr>
        <w:t>采购方式</w:t>
      </w:r>
      <w:bookmarkStart w:id="66" w:name="_GoBack"/>
      <w:bookmarkEnd w:id="66"/>
    </w:p>
    <w:p w14:paraId="5717E66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12" w:firstLineChars="200"/>
        <w:textAlignment w:val="auto"/>
        <w:outlineLvl w:val="1"/>
        <w:rPr>
          <w:rFonts w:hint="default" w:ascii="Times New Roman" w:hAnsi="Times New Roman" w:eastAsia="仿宋_GB2312" w:cs="Times New Roman"/>
          <w:color w:val="auto"/>
          <w:spacing w:val="0"/>
          <w:sz w:val="32"/>
          <w:szCs w:val="32"/>
          <w:lang w:val="en-US" w:eastAsia="zh-CN"/>
        </w:rPr>
      </w:pPr>
      <w:r>
        <w:rPr>
          <w:rFonts w:hint="default" w:ascii="Times New Roman" w:hAnsi="Times New Roman" w:eastAsia="仿宋_GB2312" w:cs="Times New Roman"/>
          <w:color w:val="auto"/>
          <w:spacing w:val="0"/>
          <w:sz w:val="32"/>
          <w:szCs w:val="32"/>
          <w:lang w:val="en-US" w:eastAsia="zh-CN"/>
        </w:rPr>
        <w:t>（1）公开比选（综合评分法）。</w:t>
      </w:r>
    </w:p>
    <w:p w14:paraId="53171B1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12" w:firstLineChars="200"/>
        <w:textAlignment w:val="auto"/>
        <w:outlineLvl w:val="1"/>
        <w:rPr>
          <w:rFonts w:hint="default" w:ascii="Times New Roman" w:hAnsi="Times New Roman" w:eastAsia="仿宋_GB2312" w:cs="Times New Roman"/>
          <w:color w:val="auto"/>
          <w:spacing w:val="0"/>
          <w:sz w:val="32"/>
          <w:szCs w:val="32"/>
          <w:lang w:val="en-US" w:eastAsia="zh-CN"/>
        </w:rPr>
      </w:pPr>
      <w:r>
        <w:rPr>
          <w:rFonts w:hint="default" w:ascii="Times New Roman" w:hAnsi="Times New Roman" w:eastAsia="仿宋_GB2312" w:cs="Times New Roman"/>
          <w:color w:val="auto"/>
          <w:spacing w:val="0"/>
          <w:sz w:val="32"/>
          <w:szCs w:val="32"/>
          <w:lang w:val="en-US" w:eastAsia="zh-CN"/>
        </w:rPr>
        <w:t>（2）报价方式：在最高单价限价内报服务单价。</w:t>
      </w:r>
    </w:p>
    <w:p w14:paraId="56BA0AE1">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firstLine="612" w:firstLineChars="200"/>
        <w:textAlignment w:val="auto"/>
        <w:outlineLvl w:val="1"/>
        <w:rPr>
          <w:rFonts w:hint="default" w:ascii="Times New Roman" w:hAnsi="Times New Roman" w:eastAsia="黑体" w:cs="Times New Roman"/>
          <w:color w:val="auto"/>
          <w:spacing w:val="0"/>
          <w:sz w:val="32"/>
          <w:szCs w:val="32"/>
          <w:lang w:val="en-US" w:eastAsia="zh-CN"/>
        </w:rPr>
      </w:pPr>
      <w:r>
        <w:rPr>
          <w:rFonts w:hint="default" w:ascii="Times New Roman" w:hAnsi="Times New Roman" w:eastAsia="黑体" w:cs="Times New Roman"/>
          <w:color w:val="auto"/>
          <w:spacing w:val="0"/>
          <w:sz w:val="32"/>
          <w:szCs w:val="32"/>
          <w:lang w:val="en-US" w:eastAsia="zh-CN"/>
        </w:rPr>
        <w:t>服务</w:t>
      </w:r>
      <w:r>
        <w:rPr>
          <w:rFonts w:hint="eastAsia" w:ascii="Times New Roman" w:hAnsi="Times New Roman" w:eastAsia="黑体" w:cs="Times New Roman"/>
          <w:color w:val="auto"/>
          <w:spacing w:val="0"/>
          <w:sz w:val="32"/>
          <w:szCs w:val="32"/>
          <w:lang w:val="en-US" w:eastAsia="zh-CN"/>
        </w:rPr>
        <w:t>依据</w:t>
      </w:r>
    </w:p>
    <w:p w14:paraId="0DAF3CE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12" w:firstLineChars="200"/>
        <w:jc w:val="both"/>
        <w:textAlignment w:val="auto"/>
        <w:outlineLvl w:val="1"/>
        <w:rPr>
          <w:rFonts w:hint="default" w:ascii="Times New Roman" w:hAnsi="Times New Roman" w:eastAsia="仿宋_GB2312" w:cs="Times New Roman"/>
          <w:color w:val="auto"/>
          <w:spacing w:val="0"/>
          <w:sz w:val="32"/>
          <w:szCs w:val="32"/>
          <w:lang w:val="en-US" w:eastAsia="zh-CN"/>
        </w:rPr>
      </w:pPr>
      <w:r>
        <w:rPr>
          <w:rFonts w:hint="default" w:ascii="Times New Roman" w:hAnsi="Times New Roman" w:eastAsia="仿宋_GB2312" w:cs="Times New Roman"/>
          <w:color w:val="auto"/>
          <w:spacing w:val="0"/>
          <w:sz w:val="32"/>
          <w:szCs w:val="32"/>
          <w:lang w:val="en-US" w:eastAsia="zh-CN"/>
        </w:rPr>
        <w:t>（一）《干部人事档案数字化技术规范》（GB/T33870-2017）</w:t>
      </w:r>
    </w:p>
    <w:p w14:paraId="12CB392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12" w:firstLineChars="200"/>
        <w:textAlignment w:val="auto"/>
        <w:outlineLvl w:val="1"/>
        <w:rPr>
          <w:rFonts w:hint="default" w:ascii="Times New Roman" w:hAnsi="Times New Roman" w:eastAsia="仿宋_GB2312" w:cs="Times New Roman"/>
          <w:color w:val="auto"/>
          <w:spacing w:val="0"/>
          <w:sz w:val="32"/>
          <w:szCs w:val="32"/>
          <w:lang w:val="en-US" w:eastAsia="zh-CN"/>
        </w:rPr>
      </w:pPr>
      <w:r>
        <w:rPr>
          <w:rFonts w:hint="default" w:ascii="Times New Roman" w:hAnsi="Times New Roman" w:eastAsia="仿宋_GB2312" w:cs="Times New Roman"/>
          <w:color w:val="auto"/>
          <w:spacing w:val="0"/>
          <w:sz w:val="32"/>
          <w:szCs w:val="32"/>
          <w:lang w:val="en-US" w:eastAsia="zh-CN"/>
        </w:rPr>
        <w:t>（二）《关于印发&lt;档案数字化外包安全管理规范&gt;的通知》（档办发〔2014〕7号）</w:t>
      </w:r>
    </w:p>
    <w:p w14:paraId="6FEFC45A">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firstLine="612" w:firstLineChars="200"/>
        <w:textAlignment w:val="auto"/>
        <w:outlineLvl w:val="1"/>
        <w:rPr>
          <w:rFonts w:hint="default" w:ascii="Times New Roman" w:hAnsi="Times New Roman" w:eastAsia="黑体" w:cs="Times New Roman"/>
          <w:color w:val="auto"/>
          <w:spacing w:val="0"/>
          <w:sz w:val="32"/>
          <w:szCs w:val="32"/>
          <w:lang w:val="en-US" w:eastAsia="zh-CN"/>
        </w:rPr>
      </w:pPr>
      <w:r>
        <w:rPr>
          <w:rFonts w:hint="default" w:ascii="Times New Roman" w:hAnsi="Times New Roman" w:eastAsia="黑体" w:cs="Times New Roman"/>
          <w:color w:val="auto"/>
          <w:spacing w:val="0"/>
          <w:sz w:val="32"/>
          <w:szCs w:val="32"/>
          <w:lang w:val="en-US" w:eastAsia="zh-CN"/>
        </w:rPr>
        <w:t>服务</w:t>
      </w:r>
      <w:r>
        <w:rPr>
          <w:rFonts w:hint="eastAsia" w:ascii="Times New Roman" w:hAnsi="Times New Roman" w:eastAsia="黑体" w:cs="Times New Roman"/>
          <w:color w:val="auto"/>
          <w:spacing w:val="0"/>
          <w:sz w:val="32"/>
          <w:szCs w:val="32"/>
          <w:lang w:val="en-US" w:eastAsia="zh-CN"/>
        </w:rPr>
        <w:t>要求</w:t>
      </w:r>
    </w:p>
    <w:p w14:paraId="62F9C862">
      <w:pPr>
        <w:keepNext w:val="0"/>
        <w:keepLines w:val="0"/>
        <w:pageBreakBefore w:val="0"/>
        <w:widowControl w:val="0"/>
        <w:kinsoku/>
        <w:wordWrap/>
        <w:overflowPunct/>
        <w:topLinePunct w:val="0"/>
        <w:autoSpaceDE/>
        <w:autoSpaceDN/>
        <w:bidi w:val="0"/>
        <w:adjustRightInd/>
        <w:snapToGrid/>
        <w:spacing w:line="560" w:lineRule="exact"/>
        <w:ind w:left="0" w:firstLine="612" w:firstLineChars="200"/>
        <w:textAlignment w:val="auto"/>
        <w:outlineLvl w:val="1"/>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（一）档案数字化加工。服务质量符合《干部人事档案数字化技术规范》（GB/T 33870—2017）和《关于印发&lt;档案数字化外包安全管理规范&gt;的通知》（档办发〔2014〕7 号）的要求。</w:t>
      </w:r>
    </w:p>
    <w:p w14:paraId="082ED1DB">
      <w:pPr>
        <w:keepNext w:val="0"/>
        <w:keepLines w:val="0"/>
        <w:pageBreakBefore w:val="0"/>
        <w:widowControl w:val="0"/>
        <w:kinsoku/>
        <w:wordWrap/>
        <w:overflowPunct/>
        <w:topLinePunct w:val="0"/>
        <w:autoSpaceDE/>
        <w:autoSpaceDN/>
        <w:bidi w:val="0"/>
        <w:adjustRightInd/>
        <w:snapToGrid/>
        <w:spacing w:line="560" w:lineRule="exact"/>
        <w:ind w:left="0" w:firstLine="612" w:firstLineChars="200"/>
        <w:textAlignment w:val="auto"/>
        <w:outlineLvl w:val="1"/>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（二）档案服务外包。服务质量符合《中华人民共和国档案法》和《档案服务外包工作规范》（DA/T 68-2017）的要求。</w:t>
      </w:r>
    </w:p>
    <w:p w14:paraId="3793508B">
      <w:pPr>
        <w:keepNext w:val="0"/>
        <w:keepLines w:val="0"/>
        <w:pageBreakBefore w:val="0"/>
        <w:widowControl w:val="0"/>
        <w:kinsoku/>
        <w:wordWrap/>
        <w:overflowPunct/>
        <w:topLinePunct w:val="0"/>
        <w:autoSpaceDE/>
        <w:autoSpaceDN/>
        <w:bidi w:val="0"/>
        <w:adjustRightInd/>
        <w:snapToGrid/>
        <w:spacing w:line="560" w:lineRule="exact"/>
        <w:ind w:left="0" w:firstLine="612" w:firstLineChars="200"/>
        <w:textAlignment w:val="auto"/>
        <w:outlineLvl w:val="1"/>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（三）保密要求。涉及本项目的任何文件资料、往来信函等应妥善保管，不准外泄。</w:t>
      </w:r>
    </w:p>
    <w:p w14:paraId="3747F24D">
      <w:pPr>
        <w:keepNext w:val="0"/>
        <w:keepLines w:val="0"/>
        <w:pageBreakBefore w:val="0"/>
        <w:widowControl w:val="0"/>
        <w:kinsoku/>
        <w:wordWrap/>
        <w:overflowPunct/>
        <w:topLinePunct w:val="0"/>
        <w:autoSpaceDE/>
        <w:autoSpaceDN/>
        <w:bidi w:val="0"/>
        <w:adjustRightInd/>
        <w:snapToGrid/>
        <w:spacing w:line="560" w:lineRule="exact"/>
        <w:ind w:left="0" w:firstLine="612" w:firstLineChars="200"/>
        <w:textAlignment w:val="auto"/>
        <w:outlineLvl w:val="1"/>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（四）中标供应商须对采购人人事档案管理人员开展人事档案工作培训，内容包括档案整理规范、分类标准、数字化流程及相关法律法规等。</w:t>
      </w:r>
    </w:p>
    <w:p w14:paraId="70D9278F">
      <w:pPr>
        <w:keepNext w:val="0"/>
        <w:keepLines w:val="0"/>
        <w:pageBreakBefore w:val="0"/>
        <w:widowControl w:val="0"/>
        <w:kinsoku/>
        <w:wordWrap/>
        <w:overflowPunct/>
        <w:topLinePunct w:val="0"/>
        <w:autoSpaceDE/>
        <w:autoSpaceDN/>
        <w:bidi w:val="0"/>
        <w:adjustRightInd/>
        <w:snapToGrid/>
        <w:spacing w:line="560" w:lineRule="exact"/>
        <w:ind w:left="0" w:firstLine="612" w:firstLineChars="200"/>
        <w:textAlignment w:val="auto"/>
        <w:outlineLvl w:val="1"/>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（五）中标供应商须配合采购人对现有全部人事档案进行全面检查，重点核对十大类分类是否正确，并书面提出整改意见及材料补充建议。采购人完成材料补充和档案整理后，中标供应商方可启动扫描工作。</w:t>
      </w:r>
    </w:p>
    <w:p w14:paraId="1CB30868">
      <w:pPr>
        <w:keepNext w:val="0"/>
        <w:keepLines w:val="0"/>
        <w:pageBreakBefore w:val="0"/>
        <w:widowControl w:val="0"/>
        <w:kinsoku/>
        <w:wordWrap/>
        <w:overflowPunct/>
        <w:topLinePunct w:val="0"/>
        <w:autoSpaceDE/>
        <w:autoSpaceDN/>
        <w:bidi w:val="0"/>
        <w:adjustRightInd/>
        <w:snapToGrid/>
        <w:spacing w:line="560" w:lineRule="exact"/>
        <w:ind w:left="0" w:firstLine="612" w:firstLineChars="200"/>
        <w:textAlignment w:val="auto"/>
        <w:outlineLvl w:val="1"/>
        <w:rPr>
          <w:rFonts w:hint="eastAsia" w:ascii="仿宋_GB2312" w:hAnsi="仿宋_GB2312" w:eastAsia="仿宋_GB2312" w:cs="仿宋_GB2312"/>
          <w:strike w:val="0"/>
          <w:dstrike w:val="0"/>
          <w:spacing w:val="0"/>
          <w:sz w:val="32"/>
          <w:szCs w:val="32"/>
          <w:highlight w:val="none"/>
          <w:lang w:val="en-US" w:eastAsia="zh-CN"/>
        </w:rPr>
      </w:pPr>
      <w:r>
        <w:rPr>
          <w:rFonts w:hint="eastAsia" w:ascii="仿宋_GB2312" w:hAnsi="仿宋_GB2312" w:eastAsia="仿宋_GB2312" w:cs="仿宋_GB2312"/>
          <w:strike w:val="0"/>
          <w:dstrike w:val="0"/>
          <w:spacing w:val="0"/>
          <w:sz w:val="32"/>
          <w:szCs w:val="32"/>
          <w:highlight w:val="none"/>
          <w:lang w:val="en-US" w:eastAsia="zh-CN"/>
        </w:rPr>
        <w:t>（六）扫描工作包括档案拆卷、档案扫描、图像处理、条目校验、图像命名、扫描后档案装订还原、目录及图像挂接、按采购人要求做好信息采集和上传到系统等内容。</w:t>
      </w:r>
    </w:p>
    <w:p w14:paraId="49DB182E">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firstLine="612" w:firstLineChars="200"/>
        <w:textAlignment w:val="auto"/>
        <w:outlineLvl w:val="1"/>
        <w:rPr>
          <w:rFonts w:hint="default" w:ascii="Times New Roman" w:hAnsi="Times New Roman" w:eastAsia="黑体" w:cs="Times New Roman"/>
          <w:color w:val="auto"/>
          <w:spacing w:val="0"/>
          <w:sz w:val="32"/>
          <w:szCs w:val="32"/>
          <w:lang w:val="en-US" w:eastAsia="zh-CN"/>
        </w:rPr>
      </w:pPr>
      <w:r>
        <w:rPr>
          <w:rFonts w:hint="eastAsia" w:ascii="Times New Roman" w:hAnsi="Times New Roman" w:eastAsia="黑体" w:cs="Times New Roman"/>
          <w:color w:val="auto"/>
          <w:spacing w:val="0"/>
          <w:sz w:val="32"/>
          <w:szCs w:val="32"/>
          <w:lang w:val="en-US" w:eastAsia="zh-CN"/>
        </w:rPr>
        <w:t>服务内容</w:t>
      </w:r>
    </w:p>
    <w:p w14:paraId="5710BE7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12" w:firstLineChars="200"/>
        <w:textAlignment w:val="auto"/>
        <w:outlineLvl w:val="2"/>
        <w:rPr>
          <w:rFonts w:hint="default" w:ascii="Times New Roman" w:hAnsi="Times New Roman" w:eastAsia="楷体_GB2312" w:cs="Times New Roman"/>
          <w:b w:val="0"/>
          <w:bCs w:val="0"/>
          <w:spacing w:val="0"/>
          <w:sz w:val="32"/>
          <w:szCs w:val="32"/>
          <w:lang w:val="en-US" w:eastAsia="zh-CN"/>
        </w:rPr>
      </w:pPr>
      <w:bookmarkStart w:id="0" w:name="_Toc16364"/>
      <w:bookmarkStart w:id="1" w:name="_Toc14037"/>
      <w:bookmarkStart w:id="2" w:name="_Toc11005"/>
      <w:r>
        <w:rPr>
          <w:rFonts w:hint="default" w:ascii="Times New Roman" w:hAnsi="Times New Roman" w:eastAsia="楷体_GB2312" w:cs="Times New Roman"/>
          <w:b w:val="0"/>
          <w:bCs w:val="0"/>
          <w:spacing w:val="0"/>
          <w:sz w:val="32"/>
          <w:szCs w:val="32"/>
          <w:lang w:val="en-US" w:eastAsia="zh-CN"/>
        </w:rPr>
        <w:t>1. 档案拆卷</w:t>
      </w:r>
      <w:bookmarkEnd w:id="0"/>
      <w:bookmarkEnd w:id="1"/>
      <w:bookmarkEnd w:id="2"/>
    </w:p>
    <w:p w14:paraId="55B350CC">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对已装卷的档案在数字化加工前进行拆卷处理。</w:t>
      </w:r>
    </w:p>
    <w:p w14:paraId="3ECBF23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12" w:firstLineChars="200"/>
        <w:textAlignment w:val="auto"/>
        <w:outlineLvl w:val="2"/>
        <w:rPr>
          <w:rFonts w:hint="default" w:ascii="Times New Roman" w:hAnsi="Times New Roman" w:eastAsia="楷体_GB2312" w:cs="Times New Roman"/>
          <w:b w:val="0"/>
          <w:bCs w:val="0"/>
          <w:spacing w:val="0"/>
          <w:sz w:val="32"/>
          <w:szCs w:val="32"/>
          <w:lang w:val="en-US" w:eastAsia="zh-CN"/>
        </w:rPr>
      </w:pPr>
      <w:bookmarkStart w:id="3" w:name="_Toc29240"/>
      <w:bookmarkStart w:id="4" w:name="_Toc24534"/>
      <w:bookmarkStart w:id="5" w:name="_Toc25585"/>
      <w:r>
        <w:rPr>
          <w:rFonts w:hint="default" w:ascii="Times New Roman" w:hAnsi="Times New Roman" w:eastAsia="楷体_GB2312" w:cs="Times New Roman"/>
          <w:b w:val="0"/>
          <w:bCs w:val="0"/>
          <w:spacing w:val="0"/>
          <w:sz w:val="32"/>
          <w:szCs w:val="32"/>
          <w:lang w:val="en-US" w:eastAsia="zh-CN"/>
        </w:rPr>
        <w:t>2.</w:t>
      </w:r>
      <w:r>
        <w:rPr>
          <w:rFonts w:hint="eastAsia" w:ascii="Times New Roman" w:hAnsi="Times New Roman" w:eastAsia="楷体_GB2312" w:cs="Times New Roman"/>
          <w:b w:val="0"/>
          <w:bCs w:val="0"/>
          <w:spacing w:val="0"/>
          <w:sz w:val="32"/>
          <w:szCs w:val="32"/>
          <w:lang w:val="en-US" w:eastAsia="zh-CN"/>
        </w:rPr>
        <w:t xml:space="preserve"> </w:t>
      </w:r>
      <w:r>
        <w:rPr>
          <w:rFonts w:hint="default" w:ascii="Times New Roman" w:hAnsi="Times New Roman" w:eastAsia="楷体_GB2312" w:cs="Times New Roman"/>
          <w:b w:val="0"/>
          <w:bCs w:val="0"/>
          <w:spacing w:val="0"/>
          <w:sz w:val="32"/>
          <w:szCs w:val="32"/>
          <w:lang w:val="en-US" w:eastAsia="zh-CN"/>
        </w:rPr>
        <w:t>档案扫描</w:t>
      </w:r>
      <w:bookmarkEnd w:id="3"/>
      <w:bookmarkEnd w:id="4"/>
      <w:bookmarkEnd w:id="5"/>
    </w:p>
    <w:p w14:paraId="7087E30B">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bookmarkStart w:id="6" w:name="_Toc7094"/>
      <w:bookmarkStart w:id="7" w:name="_Toc2770"/>
      <w:bookmarkStart w:id="8" w:name="_Toc26674"/>
      <w:r>
        <w:rPr>
          <w:rFonts w:hint="default" w:ascii="Times New Roman" w:hAnsi="Times New Roman" w:eastAsia="仿宋_GB2312" w:cs="Times New Roman"/>
          <w:spacing w:val="0"/>
          <w:kern w:val="2"/>
          <w:sz w:val="32"/>
          <w:szCs w:val="32"/>
          <w:highlight w:val="none"/>
        </w:rPr>
        <w:t>扫描方式</w:t>
      </w:r>
      <w:bookmarkEnd w:id="6"/>
      <w:bookmarkEnd w:id="7"/>
      <w:bookmarkEnd w:id="8"/>
    </w:p>
    <w:p w14:paraId="47D21E24">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根据档案幅面的大小（以A4和16开尺寸为主）选择相应规格的扫描仪进行扫描。大纸张状况较差，以及过薄、过软或超厚的档案，采用平板扫描方式；纸张状况好的档案采用高速扫描方式。</w:t>
      </w:r>
    </w:p>
    <w:p w14:paraId="73C735FA">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bookmarkStart w:id="9" w:name="_Toc9373"/>
      <w:bookmarkStart w:id="10" w:name="_Toc22616"/>
      <w:bookmarkStart w:id="11" w:name="_Toc28841"/>
      <w:r>
        <w:rPr>
          <w:rFonts w:hint="default" w:ascii="Times New Roman" w:hAnsi="Times New Roman" w:eastAsia="仿宋_GB2312" w:cs="Times New Roman"/>
          <w:spacing w:val="0"/>
          <w:kern w:val="2"/>
          <w:sz w:val="32"/>
          <w:szCs w:val="32"/>
          <w:highlight w:val="none"/>
        </w:rPr>
        <w:t>扫描分辨率</w:t>
      </w:r>
      <w:bookmarkEnd w:id="9"/>
      <w:bookmarkEnd w:id="10"/>
      <w:bookmarkEnd w:id="11"/>
    </w:p>
    <w:p w14:paraId="36163BED">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扫描分辨率参数大小的选择为300dpi，原则上以扫描后的图像清晰、完整、不影响图像的利用效果为准。特殊情况下，如文字偏小、密集、清晰度较差等，对分辨率进行优化处理。确保扫描图像缩放比为100%。</w:t>
      </w:r>
    </w:p>
    <w:p w14:paraId="09355B96">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扫描</w:t>
      </w:r>
      <w:r>
        <w:rPr>
          <w:rFonts w:hint="eastAsia" w:ascii="Times New Roman" w:hAnsi="Times New Roman" w:eastAsia="仿宋_GB2312" w:cs="Times New Roman"/>
          <w:spacing w:val="0"/>
          <w:kern w:val="2"/>
          <w:sz w:val="32"/>
          <w:szCs w:val="32"/>
          <w:highlight w:val="none"/>
          <w:lang w:eastAsia="zh-CN"/>
        </w:rPr>
        <w:t>存储</w:t>
      </w:r>
      <w:r>
        <w:rPr>
          <w:rFonts w:hint="default" w:ascii="Times New Roman" w:hAnsi="Times New Roman" w:eastAsia="仿宋_GB2312" w:cs="Times New Roman"/>
          <w:spacing w:val="0"/>
          <w:kern w:val="2"/>
          <w:sz w:val="32"/>
          <w:szCs w:val="32"/>
          <w:highlight w:val="none"/>
        </w:rPr>
        <w:t>格式：优先选择PDF格式，TIFF格式为待选格式。</w:t>
      </w:r>
    </w:p>
    <w:p w14:paraId="45E636B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12" w:firstLineChars="200"/>
        <w:textAlignment w:val="auto"/>
        <w:outlineLvl w:val="2"/>
        <w:rPr>
          <w:rFonts w:hint="default" w:ascii="Times New Roman" w:hAnsi="Times New Roman" w:eastAsia="楷体_GB2312" w:cs="Times New Roman"/>
          <w:b w:val="0"/>
          <w:bCs w:val="0"/>
          <w:spacing w:val="0"/>
          <w:sz w:val="32"/>
          <w:szCs w:val="32"/>
          <w:lang w:val="en-US" w:eastAsia="zh-CN"/>
        </w:rPr>
      </w:pPr>
      <w:bookmarkStart w:id="12" w:name="_Toc26165"/>
      <w:bookmarkStart w:id="13" w:name="_Toc16480"/>
      <w:bookmarkStart w:id="14" w:name="_Toc12899"/>
      <w:r>
        <w:rPr>
          <w:rFonts w:hint="default" w:ascii="Times New Roman" w:hAnsi="Times New Roman" w:eastAsia="楷体_GB2312" w:cs="Times New Roman"/>
          <w:b w:val="0"/>
          <w:bCs w:val="0"/>
          <w:spacing w:val="0"/>
          <w:sz w:val="32"/>
          <w:szCs w:val="32"/>
          <w:lang w:val="en-US" w:eastAsia="zh-CN"/>
        </w:rPr>
        <w:t>3.</w:t>
      </w:r>
      <w:r>
        <w:rPr>
          <w:rFonts w:hint="eastAsia" w:ascii="Times New Roman" w:hAnsi="Times New Roman" w:eastAsia="楷体_GB2312" w:cs="Times New Roman"/>
          <w:b w:val="0"/>
          <w:bCs w:val="0"/>
          <w:spacing w:val="0"/>
          <w:sz w:val="32"/>
          <w:szCs w:val="32"/>
          <w:lang w:val="en-US" w:eastAsia="zh-CN"/>
        </w:rPr>
        <w:t xml:space="preserve"> </w:t>
      </w:r>
      <w:r>
        <w:rPr>
          <w:rFonts w:hint="default" w:ascii="Times New Roman" w:hAnsi="Times New Roman" w:eastAsia="楷体_GB2312" w:cs="Times New Roman"/>
          <w:b w:val="0"/>
          <w:bCs w:val="0"/>
          <w:spacing w:val="0"/>
          <w:sz w:val="32"/>
          <w:szCs w:val="32"/>
          <w:lang w:val="en-US" w:eastAsia="zh-CN"/>
        </w:rPr>
        <w:t>扫描质检</w:t>
      </w:r>
      <w:bookmarkEnd w:id="12"/>
      <w:bookmarkEnd w:id="13"/>
      <w:bookmarkEnd w:id="14"/>
    </w:p>
    <w:p w14:paraId="00729950">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在扫描完成后，对扫描的图像进行第一次质检（一校），一校主要是检查图像是否漏扫、重扫、图像是否按照规定要求扫描、是否清晰等情况。</w:t>
      </w:r>
    </w:p>
    <w:p w14:paraId="7DEEF8D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12" w:firstLineChars="200"/>
        <w:textAlignment w:val="auto"/>
        <w:outlineLvl w:val="2"/>
        <w:rPr>
          <w:rFonts w:hint="default" w:ascii="Times New Roman" w:hAnsi="Times New Roman" w:eastAsia="楷体_GB2312" w:cs="Times New Roman"/>
          <w:b w:val="0"/>
          <w:bCs w:val="0"/>
          <w:spacing w:val="0"/>
          <w:sz w:val="32"/>
          <w:szCs w:val="32"/>
          <w:lang w:val="en-US" w:eastAsia="zh-CN"/>
        </w:rPr>
      </w:pPr>
      <w:bookmarkStart w:id="15" w:name="_Toc4668"/>
      <w:bookmarkStart w:id="16" w:name="_Toc23797"/>
      <w:bookmarkStart w:id="17" w:name="_Toc1462"/>
      <w:r>
        <w:rPr>
          <w:rFonts w:hint="default" w:ascii="Times New Roman" w:hAnsi="Times New Roman" w:eastAsia="楷体_GB2312" w:cs="Times New Roman"/>
          <w:b w:val="0"/>
          <w:bCs w:val="0"/>
          <w:spacing w:val="0"/>
          <w:sz w:val="32"/>
          <w:szCs w:val="32"/>
          <w:lang w:val="en-US" w:eastAsia="zh-CN"/>
        </w:rPr>
        <w:t>4.</w:t>
      </w:r>
      <w:r>
        <w:rPr>
          <w:rFonts w:hint="eastAsia" w:ascii="Times New Roman" w:hAnsi="Times New Roman" w:eastAsia="楷体_GB2312" w:cs="Times New Roman"/>
          <w:b w:val="0"/>
          <w:bCs w:val="0"/>
          <w:spacing w:val="0"/>
          <w:sz w:val="32"/>
          <w:szCs w:val="32"/>
          <w:lang w:val="en-US" w:eastAsia="zh-CN"/>
        </w:rPr>
        <w:t xml:space="preserve"> </w:t>
      </w:r>
      <w:r>
        <w:rPr>
          <w:rFonts w:hint="default" w:ascii="Times New Roman" w:hAnsi="Times New Roman" w:eastAsia="楷体_GB2312" w:cs="Times New Roman"/>
          <w:b w:val="0"/>
          <w:bCs w:val="0"/>
          <w:spacing w:val="0"/>
          <w:sz w:val="32"/>
          <w:szCs w:val="32"/>
          <w:lang w:val="en-US" w:eastAsia="zh-CN"/>
        </w:rPr>
        <w:t>图像处理</w:t>
      </w:r>
      <w:bookmarkEnd w:id="15"/>
      <w:bookmarkEnd w:id="16"/>
      <w:bookmarkEnd w:id="17"/>
    </w:p>
    <w:p w14:paraId="66BE99BB">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bookmarkStart w:id="18" w:name="_Toc8306"/>
      <w:bookmarkStart w:id="19" w:name="_Toc20164"/>
      <w:bookmarkStart w:id="20" w:name="_Toc30139"/>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lang w:val="en-US" w:eastAsia="zh-CN"/>
        </w:rPr>
        <w:t>1</w:t>
      </w: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rPr>
        <w:t>纠偏</w:t>
      </w:r>
      <w:bookmarkEnd w:id="18"/>
      <w:bookmarkEnd w:id="19"/>
      <w:bookmarkEnd w:id="20"/>
    </w:p>
    <w:p w14:paraId="702B7493">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对出现偏斜的图像进行纠偏处理，以达到视觉上基本不感觉偏斜为准。对方向不正确的图像进行旋转还原，以符合阅读习惯。</w:t>
      </w:r>
    </w:p>
    <w:p w14:paraId="29BB07FA">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bookmarkStart w:id="21" w:name="_Toc16279"/>
      <w:bookmarkStart w:id="22" w:name="_Toc17788"/>
      <w:bookmarkStart w:id="23" w:name="_Toc27337"/>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lang w:val="en-US" w:eastAsia="zh-CN"/>
        </w:rPr>
        <w:t>2</w:t>
      </w: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rPr>
        <w:t>去污</w:t>
      </w:r>
      <w:bookmarkEnd w:id="21"/>
      <w:bookmarkEnd w:id="22"/>
      <w:bookmarkEnd w:id="23"/>
    </w:p>
    <w:p w14:paraId="464E1B81">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对图像页面中出现的影响图像质量的杂质，如黑点、黑线、黑框、黑边等进行去污处理。处理过程中遵循在不影响可读性的前提下展现档案原貌的原则。</w:t>
      </w:r>
    </w:p>
    <w:p w14:paraId="0BECF411">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bookmarkStart w:id="24" w:name="_Toc27828"/>
      <w:bookmarkStart w:id="25" w:name="_Toc278"/>
      <w:bookmarkStart w:id="26" w:name="_Toc7308"/>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lang w:val="en-US" w:eastAsia="zh-CN"/>
        </w:rPr>
        <w:t>3</w:t>
      </w: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rPr>
        <w:t>图像拼接</w:t>
      </w:r>
      <w:bookmarkEnd w:id="24"/>
      <w:bookmarkEnd w:id="25"/>
      <w:bookmarkEnd w:id="26"/>
    </w:p>
    <w:p w14:paraId="5C110B8A">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对大幅面档案进行分区扫描形成的多幅图像，进行拼接处理，合并为一个完整的图像，保证档案数字化图像的整体性。</w:t>
      </w:r>
    </w:p>
    <w:p w14:paraId="6AD65B15">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bookmarkStart w:id="27" w:name="_Toc25922"/>
      <w:bookmarkStart w:id="28" w:name="_Toc9761"/>
      <w:bookmarkStart w:id="29" w:name="_Toc22753"/>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lang w:val="en-US" w:eastAsia="zh-CN"/>
        </w:rPr>
        <w:t>4</w:t>
      </w: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rPr>
        <w:t>裁边处理</w:t>
      </w:r>
      <w:bookmarkEnd w:id="27"/>
      <w:bookmarkEnd w:id="28"/>
      <w:bookmarkEnd w:id="29"/>
    </w:p>
    <w:p w14:paraId="78EC7D7C">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对采用彩色模式扫描的图像进行裁边处理，去除多余的白边，以有效缩小图像文件的容量，节省存储空间。</w:t>
      </w:r>
    </w:p>
    <w:p w14:paraId="0B1FE48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12" w:firstLineChars="200"/>
        <w:textAlignment w:val="auto"/>
        <w:outlineLvl w:val="2"/>
        <w:rPr>
          <w:rFonts w:hint="default" w:ascii="Times New Roman" w:hAnsi="Times New Roman" w:eastAsia="楷体_GB2312" w:cs="Times New Roman"/>
          <w:b w:val="0"/>
          <w:bCs w:val="0"/>
          <w:spacing w:val="0"/>
          <w:sz w:val="32"/>
          <w:szCs w:val="32"/>
          <w:lang w:val="en-US" w:eastAsia="zh-CN"/>
        </w:rPr>
      </w:pPr>
      <w:bookmarkStart w:id="30" w:name="_Toc21759"/>
      <w:bookmarkStart w:id="31" w:name="_Toc13339"/>
      <w:bookmarkStart w:id="32" w:name="_Toc25"/>
      <w:r>
        <w:rPr>
          <w:rFonts w:hint="default" w:ascii="Times New Roman" w:hAnsi="Times New Roman" w:eastAsia="楷体_GB2312" w:cs="Times New Roman"/>
          <w:b w:val="0"/>
          <w:bCs w:val="0"/>
          <w:spacing w:val="0"/>
          <w:sz w:val="32"/>
          <w:szCs w:val="32"/>
          <w:lang w:val="en-US" w:eastAsia="zh-CN"/>
        </w:rPr>
        <w:t>5.</w:t>
      </w:r>
      <w:r>
        <w:rPr>
          <w:rFonts w:hint="eastAsia" w:ascii="Times New Roman" w:hAnsi="Times New Roman" w:eastAsia="楷体_GB2312" w:cs="Times New Roman"/>
          <w:b w:val="0"/>
          <w:bCs w:val="0"/>
          <w:spacing w:val="0"/>
          <w:sz w:val="32"/>
          <w:szCs w:val="32"/>
          <w:lang w:val="en-US" w:eastAsia="zh-CN"/>
        </w:rPr>
        <w:t xml:space="preserve"> </w:t>
      </w:r>
      <w:r>
        <w:rPr>
          <w:rFonts w:hint="default" w:ascii="Times New Roman" w:hAnsi="Times New Roman" w:eastAsia="楷体_GB2312" w:cs="Times New Roman"/>
          <w:b w:val="0"/>
          <w:bCs w:val="0"/>
          <w:spacing w:val="0"/>
          <w:sz w:val="32"/>
          <w:szCs w:val="32"/>
          <w:lang w:val="en-US" w:eastAsia="zh-CN"/>
        </w:rPr>
        <w:t>图像校验</w:t>
      </w:r>
      <w:bookmarkEnd w:id="30"/>
      <w:bookmarkEnd w:id="31"/>
      <w:bookmarkEnd w:id="32"/>
    </w:p>
    <w:p w14:paraId="6DE1C39B">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lang w:val="en-US" w:eastAsia="zh-CN"/>
        </w:rPr>
        <w:t>1</w:t>
      </w: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rPr>
        <w:t>对图像偏斜度、清晰度、失真度等进行检查。发现不符合图像质量要求时，重新进行图像的处理。</w:t>
      </w:r>
    </w:p>
    <w:p w14:paraId="3C8D9E6E">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lang w:val="en-US" w:eastAsia="zh-CN"/>
        </w:rPr>
        <w:t>2</w:t>
      </w: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rPr>
        <w:t>对由于操作不当，造成扫描的图像文件不完整或无法清晰识别时，进行重新扫描处理。</w:t>
      </w:r>
    </w:p>
    <w:p w14:paraId="29BB47FB">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bookmarkStart w:id="33" w:name="_Toc5196"/>
      <w:bookmarkStart w:id="34" w:name="_Toc11493"/>
      <w:bookmarkStart w:id="35" w:name="_Toc29854"/>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lang w:val="en-US" w:eastAsia="zh-CN"/>
        </w:rPr>
        <w:t>3</w:t>
      </w: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rPr>
        <w:t>发现文件漏扫时，及时补扫并正确插入图像。</w:t>
      </w:r>
      <w:bookmarkEnd w:id="33"/>
      <w:bookmarkEnd w:id="34"/>
      <w:bookmarkEnd w:id="35"/>
    </w:p>
    <w:p w14:paraId="3BBB6014">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lang w:val="en-US" w:eastAsia="zh-CN"/>
        </w:rPr>
        <w:t>4</w:t>
      </w: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rPr>
        <w:t>发现扫描图像的排列顺序与档案原件不一致时，及时进行更正。</w:t>
      </w:r>
    </w:p>
    <w:p w14:paraId="082E328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12" w:firstLineChars="200"/>
        <w:textAlignment w:val="auto"/>
        <w:outlineLvl w:val="2"/>
        <w:rPr>
          <w:rFonts w:hint="default" w:ascii="Times New Roman" w:hAnsi="Times New Roman" w:eastAsia="楷体_GB2312" w:cs="Times New Roman"/>
          <w:b w:val="0"/>
          <w:bCs w:val="0"/>
          <w:spacing w:val="0"/>
          <w:sz w:val="32"/>
          <w:szCs w:val="32"/>
          <w:lang w:val="en-US" w:eastAsia="zh-CN"/>
        </w:rPr>
      </w:pPr>
      <w:bookmarkStart w:id="36" w:name="_Toc7209"/>
      <w:bookmarkStart w:id="37" w:name="_Toc21983"/>
      <w:bookmarkStart w:id="38" w:name="_Toc4363"/>
      <w:r>
        <w:rPr>
          <w:rFonts w:hint="default" w:ascii="Times New Roman" w:hAnsi="Times New Roman" w:eastAsia="楷体_GB2312" w:cs="Times New Roman"/>
          <w:b w:val="0"/>
          <w:bCs w:val="0"/>
          <w:spacing w:val="0"/>
          <w:sz w:val="32"/>
          <w:szCs w:val="32"/>
          <w:lang w:val="en-US" w:eastAsia="zh-CN"/>
        </w:rPr>
        <w:t>6.</w:t>
      </w:r>
      <w:r>
        <w:rPr>
          <w:rFonts w:hint="eastAsia" w:ascii="Times New Roman" w:hAnsi="Times New Roman" w:eastAsia="楷体_GB2312" w:cs="Times New Roman"/>
          <w:b w:val="0"/>
          <w:bCs w:val="0"/>
          <w:spacing w:val="0"/>
          <w:sz w:val="32"/>
          <w:szCs w:val="32"/>
          <w:lang w:val="en-US" w:eastAsia="zh-CN"/>
        </w:rPr>
        <w:t xml:space="preserve"> </w:t>
      </w:r>
      <w:r>
        <w:rPr>
          <w:rFonts w:hint="default" w:ascii="Times New Roman" w:hAnsi="Times New Roman" w:eastAsia="楷体_GB2312" w:cs="Times New Roman"/>
          <w:b w:val="0"/>
          <w:bCs w:val="0"/>
          <w:spacing w:val="0"/>
          <w:sz w:val="32"/>
          <w:szCs w:val="32"/>
          <w:lang w:val="en-US" w:eastAsia="zh-CN"/>
        </w:rPr>
        <w:t>条目校验</w:t>
      </w:r>
      <w:bookmarkEnd w:id="36"/>
      <w:bookmarkEnd w:id="37"/>
      <w:bookmarkEnd w:id="38"/>
    </w:p>
    <w:p w14:paraId="2D70E6A5">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核对已著录项目是否完整、著录内容是否规范、准确，对不合格的数据进行修改或重录。</w:t>
      </w:r>
    </w:p>
    <w:p w14:paraId="11E5DD5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12" w:firstLineChars="200"/>
        <w:textAlignment w:val="auto"/>
        <w:outlineLvl w:val="2"/>
        <w:rPr>
          <w:rFonts w:hint="default" w:ascii="Times New Roman" w:hAnsi="Times New Roman" w:eastAsia="楷体_GB2312" w:cs="Times New Roman"/>
          <w:b w:val="0"/>
          <w:bCs w:val="0"/>
          <w:spacing w:val="0"/>
          <w:sz w:val="32"/>
          <w:szCs w:val="32"/>
          <w:lang w:val="en-US" w:eastAsia="zh-CN"/>
        </w:rPr>
      </w:pPr>
      <w:bookmarkStart w:id="39" w:name="_Toc28257"/>
      <w:bookmarkStart w:id="40" w:name="_Toc10764"/>
      <w:bookmarkStart w:id="41" w:name="_Toc22952"/>
      <w:r>
        <w:rPr>
          <w:rFonts w:hint="default" w:ascii="Times New Roman" w:hAnsi="Times New Roman" w:eastAsia="楷体_GB2312" w:cs="Times New Roman"/>
          <w:b w:val="0"/>
          <w:bCs w:val="0"/>
          <w:spacing w:val="0"/>
          <w:sz w:val="32"/>
          <w:szCs w:val="32"/>
          <w:lang w:val="en-US" w:eastAsia="zh-CN"/>
        </w:rPr>
        <w:t>7.</w:t>
      </w:r>
      <w:r>
        <w:rPr>
          <w:rFonts w:hint="eastAsia" w:ascii="Times New Roman" w:hAnsi="Times New Roman" w:eastAsia="楷体_GB2312" w:cs="Times New Roman"/>
          <w:b w:val="0"/>
          <w:bCs w:val="0"/>
          <w:spacing w:val="0"/>
          <w:sz w:val="32"/>
          <w:szCs w:val="32"/>
          <w:lang w:val="en-US" w:eastAsia="zh-CN"/>
        </w:rPr>
        <w:t xml:space="preserve"> </w:t>
      </w:r>
      <w:r>
        <w:rPr>
          <w:rFonts w:hint="default" w:ascii="Times New Roman" w:hAnsi="Times New Roman" w:eastAsia="楷体_GB2312" w:cs="Times New Roman"/>
          <w:b w:val="0"/>
          <w:bCs w:val="0"/>
          <w:spacing w:val="0"/>
          <w:sz w:val="32"/>
          <w:szCs w:val="32"/>
          <w:lang w:val="en-US" w:eastAsia="zh-CN"/>
        </w:rPr>
        <w:t>装订</w:t>
      </w:r>
      <w:bookmarkEnd w:id="39"/>
      <w:bookmarkEnd w:id="40"/>
      <w:bookmarkEnd w:id="41"/>
    </w:p>
    <w:p w14:paraId="65F4B47A">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完成对档案的数字化加工后，将历史档案进行还原，并装盒上架，确保不出现错页漏页现象。</w:t>
      </w:r>
    </w:p>
    <w:p w14:paraId="422D74F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12" w:firstLineChars="200"/>
        <w:textAlignment w:val="auto"/>
        <w:outlineLvl w:val="2"/>
        <w:rPr>
          <w:rFonts w:hint="default" w:ascii="Times New Roman" w:hAnsi="Times New Roman" w:eastAsia="楷体_GB2312" w:cs="Times New Roman"/>
          <w:b w:val="0"/>
          <w:bCs w:val="0"/>
          <w:spacing w:val="0"/>
          <w:sz w:val="32"/>
          <w:szCs w:val="32"/>
          <w:lang w:val="en-US" w:eastAsia="zh-CN"/>
        </w:rPr>
      </w:pPr>
      <w:bookmarkStart w:id="42" w:name="_Toc31349"/>
      <w:bookmarkStart w:id="43" w:name="_Toc15290"/>
      <w:bookmarkStart w:id="44" w:name="_Toc14905"/>
      <w:r>
        <w:rPr>
          <w:rFonts w:hint="default" w:ascii="Times New Roman" w:hAnsi="Times New Roman" w:eastAsia="楷体_GB2312" w:cs="Times New Roman"/>
          <w:b w:val="0"/>
          <w:bCs w:val="0"/>
          <w:spacing w:val="0"/>
          <w:sz w:val="32"/>
          <w:szCs w:val="32"/>
          <w:lang w:val="en-US" w:eastAsia="zh-CN"/>
        </w:rPr>
        <w:t>8.</w:t>
      </w:r>
      <w:r>
        <w:rPr>
          <w:rFonts w:hint="eastAsia" w:ascii="Times New Roman" w:hAnsi="Times New Roman" w:eastAsia="楷体_GB2312" w:cs="Times New Roman"/>
          <w:b w:val="0"/>
          <w:bCs w:val="0"/>
          <w:spacing w:val="0"/>
          <w:sz w:val="32"/>
          <w:szCs w:val="32"/>
          <w:lang w:val="en-US" w:eastAsia="zh-CN"/>
        </w:rPr>
        <w:t xml:space="preserve"> </w:t>
      </w:r>
      <w:r>
        <w:rPr>
          <w:rFonts w:hint="default" w:ascii="Times New Roman" w:hAnsi="Times New Roman" w:eastAsia="楷体_GB2312" w:cs="Times New Roman"/>
          <w:b w:val="0"/>
          <w:bCs w:val="0"/>
          <w:spacing w:val="0"/>
          <w:sz w:val="32"/>
          <w:szCs w:val="32"/>
          <w:lang w:val="en-US" w:eastAsia="zh-CN"/>
        </w:rPr>
        <w:t>图像挂接</w:t>
      </w:r>
      <w:bookmarkEnd w:id="42"/>
      <w:bookmarkEnd w:id="43"/>
      <w:bookmarkEnd w:id="44"/>
    </w:p>
    <w:p w14:paraId="30E92D83">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bookmarkStart w:id="45" w:name="_Toc26499"/>
      <w:bookmarkStart w:id="46" w:name="_Toc27422"/>
      <w:bookmarkStart w:id="47" w:name="_Toc4430"/>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lang w:val="en-US" w:eastAsia="zh-CN"/>
        </w:rPr>
        <w:t>1</w:t>
      </w: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rPr>
        <w:t>汇总挂接</w:t>
      </w:r>
      <w:bookmarkEnd w:id="45"/>
      <w:bookmarkEnd w:id="46"/>
      <w:bookmarkEnd w:id="47"/>
    </w:p>
    <w:p w14:paraId="05AA47DD">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档案数字化转换过程中形成的目录数据库与图像数据库，通过网络加载到数据服务器端汇总。借助相应软件，实现目录数据对相关联的数字图像的自动搜索、加入对应的电子地址信息等，实现批量、快速挂接到采购人的档案管理系统中。</w:t>
      </w:r>
    </w:p>
    <w:p w14:paraId="39A04F01">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bookmarkStart w:id="48" w:name="_Toc20134"/>
      <w:bookmarkStart w:id="49" w:name="_Toc17189"/>
      <w:bookmarkStart w:id="50" w:name="_Toc31330"/>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lang w:val="en-US" w:eastAsia="zh-CN"/>
        </w:rPr>
        <w:t>2</w:t>
      </w: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rPr>
        <w:t>数据关联</w:t>
      </w:r>
      <w:bookmarkEnd w:id="48"/>
      <w:bookmarkEnd w:id="49"/>
      <w:bookmarkEnd w:id="50"/>
    </w:p>
    <w:p w14:paraId="08CC1411">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以纸质档案目录数据库为依据，将每一份纸质档案文件扫描所得的一个或多个图像存储为一份图像文件。将图像文件存储到相应文件夹时核查每一份图像文件的名称与档案目录数据库中该份文件的档号是否相同，图像文件的页数与档案目录数据库中该份文件的页数是否一致，图像文件的总数与目录数据库中文件的总数是否相同等。通过每一份图像文件的文件名与档案目录数据库中该卷（件）档案的档案定位符的一致性和唯一性，建立起一一对应的关联关系，为实现档案目录数据库与图像文件的批量挂接提供条件。</w:t>
      </w:r>
    </w:p>
    <w:p w14:paraId="7A51DE0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12" w:firstLineChars="200"/>
        <w:textAlignment w:val="auto"/>
        <w:outlineLvl w:val="2"/>
        <w:rPr>
          <w:rFonts w:hint="default" w:ascii="Times New Roman" w:hAnsi="Times New Roman" w:eastAsia="楷体_GB2312" w:cs="Times New Roman"/>
          <w:b w:val="0"/>
          <w:bCs w:val="0"/>
          <w:spacing w:val="0"/>
          <w:sz w:val="32"/>
          <w:szCs w:val="32"/>
          <w:lang w:val="en-US" w:eastAsia="zh-CN"/>
        </w:rPr>
      </w:pPr>
      <w:bookmarkStart w:id="51" w:name="_Toc659"/>
      <w:bookmarkStart w:id="52" w:name="_Toc18946"/>
      <w:bookmarkStart w:id="53" w:name="_Toc4985"/>
      <w:r>
        <w:rPr>
          <w:rFonts w:hint="default" w:ascii="Times New Roman" w:hAnsi="Times New Roman" w:eastAsia="楷体_GB2312" w:cs="Times New Roman"/>
          <w:b w:val="0"/>
          <w:bCs w:val="0"/>
          <w:spacing w:val="0"/>
          <w:sz w:val="32"/>
          <w:szCs w:val="32"/>
          <w:lang w:val="en-US" w:eastAsia="zh-CN"/>
        </w:rPr>
        <w:t>9.</w:t>
      </w:r>
      <w:r>
        <w:rPr>
          <w:rFonts w:hint="eastAsia" w:ascii="Times New Roman" w:hAnsi="Times New Roman" w:eastAsia="楷体_GB2312" w:cs="Times New Roman"/>
          <w:b w:val="0"/>
          <w:bCs w:val="0"/>
          <w:spacing w:val="0"/>
          <w:sz w:val="32"/>
          <w:szCs w:val="32"/>
          <w:lang w:val="en-US" w:eastAsia="zh-CN"/>
        </w:rPr>
        <w:t xml:space="preserve"> </w:t>
      </w:r>
      <w:r>
        <w:rPr>
          <w:rFonts w:hint="default" w:ascii="Times New Roman" w:hAnsi="Times New Roman" w:eastAsia="楷体_GB2312" w:cs="Times New Roman"/>
          <w:b w:val="0"/>
          <w:bCs w:val="0"/>
          <w:spacing w:val="0"/>
          <w:sz w:val="32"/>
          <w:szCs w:val="32"/>
          <w:lang w:val="en-US" w:eastAsia="zh-CN"/>
        </w:rPr>
        <w:t>总质检</w:t>
      </w:r>
      <w:bookmarkEnd w:id="51"/>
      <w:bookmarkEnd w:id="52"/>
      <w:bookmarkEnd w:id="53"/>
    </w:p>
    <w:p w14:paraId="5A86161D">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在完成了档案扫描、图像处理、条目著录、批量挂接之后，对数字化加工的成果进行整体检查和验收。</w:t>
      </w:r>
    </w:p>
    <w:p w14:paraId="2E446A0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12" w:firstLineChars="200"/>
        <w:textAlignment w:val="auto"/>
        <w:outlineLvl w:val="2"/>
        <w:rPr>
          <w:rFonts w:hint="default" w:ascii="Times New Roman" w:hAnsi="Times New Roman" w:eastAsia="楷体_GB2312" w:cs="Times New Roman"/>
          <w:b w:val="0"/>
          <w:bCs w:val="0"/>
          <w:spacing w:val="0"/>
          <w:sz w:val="32"/>
          <w:szCs w:val="32"/>
          <w:lang w:val="en-US" w:eastAsia="zh-CN"/>
        </w:rPr>
      </w:pPr>
      <w:bookmarkStart w:id="54" w:name="_Toc22005"/>
      <w:bookmarkStart w:id="55" w:name="_Toc31000"/>
      <w:bookmarkStart w:id="56" w:name="_Toc28766"/>
      <w:r>
        <w:rPr>
          <w:rFonts w:hint="default" w:ascii="Times New Roman" w:hAnsi="Times New Roman" w:eastAsia="楷体_GB2312" w:cs="Times New Roman"/>
          <w:b w:val="0"/>
          <w:bCs w:val="0"/>
          <w:spacing w:val="0"/>
          <w:sz w:val="32"/>
          <w:szCs w:val="32"/>
          <w:lang w:val="en-US" w:eastAsia="zh-CN"/>
        </w:rPr>
        <w:t>10.</w:t>
      </w:r>
      <w:r>
        <w:rPr>
          <w:rFonts w:hint="eastAsia" w:ascii="Times New Roman" w:hAnsi="Times New Roman" w:eastAsia="楷体_GB2312" w:cs="Times New Roman"/>
          <w:b w:val="0"/>
          <w:bCs w:val="0"/>
          <w:spacing w:val="0"/>
          <w:sz w:val="32"/>
          <w:szCs w:val="32"/>
          <w:lang w:val="en-US" w:eastAsia="zh-CN"/>
        </w:rPr>
        <w:t xml:space="preserve"> </w:t>
      </w:r>
      <w:r>
        <w:rPr>
          <w:rFonts w:hint="default" w:ascii="Times New Roman" w:hAnsi="Times New Roman" w:eastAsia="楷体_GB2312" w:cs="Times New Roman"/>
          <w:b w:val="0"/>
          <w:bCs w:val="0"/>
          <w:spacing w:val="0"/>
          <w:sz w:val="32"/>
          <w:szCs w:val="32"/>
          <w:lang w:val="en-US" w:eastAsia="zh-CN"/>
        </w:rPr>
        <w:t>数据备份</w:t>
      </w:r>
      <w:bookmarkEnd w:id="54"/>
      <w:bookmarkEnd w:id="55"/>
      <w:bookmarkEnd w:id="56"/>
    </w:p>
    <w:p w14:paraId="4C50E05C">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bookmarkStart w:id="57" w:name="_Toc25078"/>
      <w:bookmarkStart w:id="58" w:name="_Toc11748"/>
      <w:bookmarkStart w:id="59" w:name="_Toc32261"/>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lang w:val="en-US" w:eastAsia="zh-CN"/>
        </w:rPr>
        <w:t>1</w:t>
      </w: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rPr>
        <w:t>备份范围</w:t>
      </w:r>
      <w:bookmarkEnd w:id="57"/>
      <w:bookmarkEnd w:id="58"/>
      <w:bookmarkEnd w:id="59"/>
    </w:p>
    <w:p w14:paraId="040E1A17">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对经验收合格的档案基本信息、档案目录信息、图像数据及时进行备份，符合数据备份技术规范要求的存储介质备份一式三份提交给采购人。</w:t>
      </w:r>
    </w:p>
    <w:p w14:paraId="79879035">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bookmarkStart w:id="60" w:name="_Toc22908"/>
      <w:bookmarkStart w:id="61" w:name="_Toc5425"/>
      <w:bookmarkStart w:id="62" w:name="_Toc13703"/>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lang w:val="en-US" w:eastAsia="zh-CN"/>
        </w:rPr>
        <w:t>2</w:t>
      </w: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rPr>
        <w:t>备份方式</w:t>
      </w:r>
      <w:bookmarkEnd w:id="60"/>
      <w:bookmarkEnd w:id="61"/>
      <w:bookmarkEnd w:id="62"/>
    </w:p>
    <w:p w14:paraId="15BD7991">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采用在线、离线相结合的方式实现备份。在线备份采用持续数据保护技术，保障数据备份的持续性。离线备份时，每个人的数字档案形成一个数据包，数据包采用硬盘、光盘等不同载体备份，进行异地备份。</w:t>
      </w:r>
    </w:p>
    <w:p w14:paraId="64E4A685">
      <w:pPr>
        <w:keepNext w:val="0"/>
        <w:keepLines w:val="0"/>
        <w:pageBreakBefore w:val="0"/>
        <w:widowControl w:val="0"/>
        <w:kinsoku/>
        <w:wordWrap/>
        <w:overflowPunct/>
        <w:topLinePunct w:val="0"/>
        <w:autoSpaceDE/>
        <w:autoSpaceDN/>
        <w:bidi w:val="0"/>
        <w:adjustRightInd/>
        <w:snapToGrid/>
        <w:spacing w:line="560" w:lineRule="exact"/>
        <w:ind w:left="0" w:right="0" w:firstLine="612" w:firstLineChars="200"/>
        <w:jc w:val="both"/>
        <w:textAlignment w:val="auto"/>
        <w:outlineLvl w:val="9"/>
        <w:rPr>
          <w:rFonts w:hint="default" w:ascii="Times New Roman" w:hAnsi="Times New Roman" w:eastAsia="仿宋_GB2312" w:cs="Times New Roman"/>
          <w:spacing w:val="0"/>
          <w:kern w:val="2"/>
          <w:sz w:val="32"/>
          <w:szCs w:val="32"/>
          <w:highlight w:val="none"/>
        </w:rPr>
      </w:pPr>
      <w:bookmarkStart w:id="63" w:name="_Toc10229"/>
      <w:bookmarkStart w:id="64" w:name="_Toc9616"/>
      <w:bookmarkStart w:id="65" w:name="_Toc30886"/>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lang w:val="en-US" w:eastAsia="zh-CN"/>
        </w:rPr>
        <w:t>3</w:t>
      </w:r>
      <w:r>
        <w:rPr>
          <w:rFonts w:hint="default" w:ascii="Times New Roman" w:hAnsi="Times New Roman" w:eastAsia="仿宋_GB2312"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rPr>
        <w:t>备份标签</w:t>
      </w:r>
      <w:bookmarkEnd w:id="63"/>
      <w:bookmarkEnd w:id="64"/>
      <w:bookmarkEnd w:id="65"/>
    </w:p>
    <w:p w14:paraId="1DF5F759">
      <w:pPr>
        <w:keepNext w:val="0"/>
        <w:keepLines w:val="0"/>
        <w:pageBreakBefore w:val="0"/>
        <w:widowControl w:val="0"/>
        <w:kinsoku/>
        <w:wordWrap/>
        <w:overflowPunct/>
        <w:topLinePunct w:val="0"/>
        <w:autoSpaceDE/>
        <w:autoSpaceDN/>
        <w:bidi w:val="0"/>
        <w:adjustRightInd/>
        <w:snapToGrid/>
        <w:spacing w:line="560" w:lineRule="exact"/>
        <w:ind w:left="0" w:firstLine="612" w:firstLineChars="200"/>
        <w:jc w:val="both"/>
        <w:textAlignment w:val="auto"/>
        <w:rPr>
          <w:rFonts w:hint="default" w:ascii="Times New Roman" w:hAnsi="Times New Roman" w:eastAsia="仿宋_GB2312" w:cs="Times New Roman"/>
          <w:spacing w:val="0"/>
          <w:kern w:val="2"/>
          <w:sz w:val="32"/>
          <w:szCs w:val="32"/>
          <w:highlight w:val="none"/>
        </w:rPr>
      </w:pPr>
      <w:r>
        <w:rPr>
          <w:rFonts w:hint="default" w:ascii="Times New Roman" w:hAnsi="Times New Roman" w:eastAsia="仿宋_GB2312" w:cs="Times New Roman"/>
          <w:spacing w:val="0"/>
          <w:kern w:val="2"/>
          <w:sz w:val="32"/>
          <w:szCs w:val="32"/>
          <w:highlight w:val="none"/>
        </w:rPr>
        <w:t>对备份数据进行检验，备份数据的检验的内容主要包括备份数据能否打开、数据信息是否完整、文件数量是否准确等，数据备份后在相应的备份介质上做好标签，以便查找和管理。</w:t>
      </w:r>
    </w:p>
    <w:p w14:paraId="0EBCCC59">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firstLine="612" w:firstLineChars="200"/>
        <w:textAlignment w:val="auto"/>
        <w:outlineLvl w:val="1"/>
        <w:rPr>
          <w:rFonts w:hint="eastAsia" w:ascii="Times New Roman" w:hAnsi="Times New Roman" w:eastAsia="黑体" w:cs="Times New Roman"/>
          <w:color w:val="auto"/>
          <w:spacing w:val="0"/>
          <w:sz w:val="32"/>
          <w:szCs w:val="32"/>
          <w:lang w:val="en-US" w:eastAsia="zh-CN"/>
        </w:rPr>
      </w:pPr>
      <w:r>
        <w:rPr>
          <w:rFonts w:hint="eastAsia" w:ascii="Times New Roman" w:hAnsi="Times New Roman" w:eastAsia="黑体" w:cs="Times New Roman"/>
          <w:color w:val="auto"/>
          <w:spacing w:val="0"/>
          <w:sz w:val="32"/>
          <w:szCs w:val="32"/>
          <w:lang w:val="en-US" w:eastAsia="zh-CN"/>
        </w:rPr>
        <w:t>供应商资质要求</w:t>
      </w:r>
    </w:p>
    <w:p w14:paraId="2CED2161">
      <w:pPr>
        <w:keepNext w:val="0"/>
        <w:keepLines w:val="0"/>
        <w:pageBreakBefore w:val="0"/>
        <w:widowControl w:val="0"/>
        <w:suppressLineNumbers w:val="0"/>
        <w:kinsoku/>
        <w:wordWrap/>
        <w:overflowPunct/>
        <w:topLinePunct w:val="0"/>
        <w:autoSpaceDE/>
        <w:autoSpaceDN/>
        <w:bidi w:val="0"/>
        <w:adjustRightInd/>
        <w:snapToGrid/>
        <w:spacing w:line="560" w:lineRule="exact"/>
        <w:ind w:left="0" w:firstLine="612" w:firstLineChars="200"/>
        <w:jc w:val="left"/>
        <w:textAlignment w:val="auto"/>
        <w:rPr>
          <w:rFonts w:hint="default" w:ascii="Times New Roman" w:hAnsi="Times New Roman" w:eastAsia="仿宋_GB2312" w:cs="Times New Roman"/>
          <w:spacing w:val="0"/>
          <w:sz w:val="32"/>
          <w:szCs w:val="32"/>
        </w:rPr>
      </w:pPr>
      <w:r>
        <w:rPr>
          <w:rFonts w:hint="default" w:ascii="Times New Roman" w:hAnsi="Times New Roman" w:eastAsia="仿宋_GB2312" w:cs="Times New Roman"/>
          <w:color w:val="000000"/>
          <w:spacing w:val="0"/>
          <w:kern w:val="0"/>
          <w:sz w:val="32"/>
          <w:szCs w:val="32"/>
          <w:lang w:val="en-US" w:eastAsia="zh-CN" w:bidi="ar"/>
        </w:rPr>
        <w:t>1.</w:t>
      </w:r>
      <w:r>
        <w:rPr>
          <w:rFonts w:hint="eastAsia" w:ascii="Times New Roman" w:hAnsi="Times New Roman" w:eastAsia="仿宋_GB2312" w:cs="Times New Roman"/>
          <w:color w:val="000000"/>
          <w:spacing w:val="0"/>
          <w:kern w:val="0"/>
          <w:sz w:val="32"/>
          <w:szCs w:val="32"/>
          <w:lang w:val="en-US" w:eastAsia="zh-CN" w:bidi="ar"/>
        </w:rPr>
        <w:t xml:space="preserve"> </w:t>
      </w:r>
      <w:r>
        <w:rPr>
          <w:rFonts w:hint="default" w:ascii="Times New Roman" w:hAnsi="Times New Roman" w:eastAsia="仿宋_GB2312" w:cs="Times New Roman"/>
          <w:color w:val="000000"/>
          <w:spacing w:val="0"/>
          <w:kern w:val="0"/>
          <w:sz w:val="32"/>
          <w:szCs w:val="32"/>
          <w:lang w:val="en-US" w:eastAsia="zh-CN" w:bidi="ar"/>
        </w:rPr>
        <w:t>满足《中华人民共和国政府采购法》第二十二条规定；</w:t>
      </w:r>
    </w:p>
    <w:p w14:paraId="7C14D78A">
      <w:pPr>
        <w:keepNext w:val="0"/>
        <w:keepLines w:val="0"/>
        <w:pageBreakBefore w:val="0"/>
        <w:widowControl w:val="0"/>
        <w:suppressLineNumbers w:val="0"/>
        <w:kinsoku/>
        <w:wordWrap/>
        <w:overflowPunct/>
        <w:topLinePunct w:val="0"/>
        <w:autoSpaceDE/>
        <w:autoSpaceDN/>
        <w:bidi w:val="0"/>
        <w:adjustRightInd/>
        <w:snapToGrid/>
        <w:spacing w:line="560" w:lineRule="exact"/>
        <w:ind w:left="0" w:firstLine="612" w:firstLineChars="200"/>
        <w:jc w:val="left"/>
        <w:textAlignment w:val="auto"/>
        <w:rPr>
          <w:rFonts w:hint="default" w:ascii="Times New Roman" w:hAnsi="Times New Roman" w:eastAsia="仿宋_GB2312" w:cs="Times New Roman"/>
          <w:color w:val="auto"/>
          <w:spacing w:val="0"/>
          <w:sz w:val="32"/>
          <w:szCs w:val="32"/>
        </w:rPr>
      </w:pPr>
      <w:r>
        <w:rPr>
          <w:rFonts w:hint="default" w:ascii="Times New Roman" w:hAnsi="Times New Roman" w:eastAsia="仿宋_GB2312" w:cs="Times New Roman"/>
          <w:color w:val="000000"/>
          <w:spacing w:val="0"/>
          <w:kern w:val="0"/>
          <w:sz w:val="32"/>
          <w:szCs w:val="32"/>
          <w:lang w:val="en-US" w:eastAsia="zh-CN" w:bidi="ar"/>
        </w:rPr>
        <w:t>2.</w:t>
      </w:r>
      <w:r>
        <w:rPr>
          <w:rFonts w:hint="eastAsia" w:ascii="Times New Roman" w:hAnsi="Times New Roman" w:eastAsia="仿宋_GB2312" w:cs="Times New Roman"/>
          <w:color w:val="000000"/>
          <w:spacing w:val="0"/>
          <w:kern w:val="0"/>
          <w:sz w:val="32"/>
          <w:szCs w:val="32"/>
          <w:lang w:val="en-US" w:eastAsia="zh-CN" w:bidi="ar"/>
        </w:rPr>
        <w:t xml:space="preserve"> </w:t>
      </w:r>
      <w:r>
        <w:rPr>
          <w:rFonts w:hint="default" w:ascii="Times New Roman" w:hAnsi="Times New Roman" w:eastAsia="仿宋_GB2312" w:cs="Times New Roman"/>
          <w:color w:val="000000"/>
          <w:spacing w:val="0"/>
          <w:kern w:val="0"/>
          <w:sz w:val="32"/>
          <w:szCs w:val="32"/>
          <w:lang w:val="en-US" w:eastAsia="zh-CN" w:bidi="ar"/>
        </w:rPr>
        <w:t>本项目的特定资格要求：经营范围包含</w:t>
      </w:r>
      <w:r>
        <w:rPr>
          <w:rFonts w:hint="eastAsia" w:ascii="Times New Roman" w:hAnsi="Times New Roman" w:eastAsia="仿宋_GB2312" w:cs="Times New Roman"/>
          <w:color w:val="000000"/>
          <w:spacing w:val="0"/>
          <w:kern w:val="0"/>
          <w:sz w:val="32"/>
          <w:szCs w:val="32"/>
          <w:lang w:val="en-US" w:eastAsia="zh-CN" w:bidi="ar"/>
        </w:rPr>
        <w:t>“</w:t>
      </w:r>
      <w:r>
        <w:rPr>
          <w:rFonts w:hint="default" w:ascii="Times New Roman" w:hAnsi="Times New Roman" w:eastAsia="仿宋_GB2312" w:cs="Times New Roman"/>
          <w:color w:val="000000"/>
          <w:spacing w:val="0"/>
          <w:kern w:val="0"/>
          <w:sz w:val="32"/>
          <w:szCs w:val="32"/>
          <w:lang w:val="en-US" w:eastAsia="zh-CN" w:bidi="ar"/>
        </w:rPr>
        <w:t>承接档案服务外包</w:t>
      </w:r>
      <w:r>
        <w:rPr>
          <w:rFonts w:hint="eastAsia" w:ascii="Times New Roman" w:hAnsi="Times New Roman" w:eastAsia="仿宋_GB2312" w:cs="Times New Roman"/>
          <w:color w:val="000000"/>
          <w:spacing w:val="0"/>
          <w:kern w:val="0"/>
          <w:sz w:val="32"/>
          <w:szCs w:val="32"/>
          <w:lang w:val="en-US" w:eastAsia="zh-CN" w:bidi="ar"/>
        </w:rPr>
        <w:t>”</w:t>
      </w:r>
      <w:r>
        <w:rPr>
          <w:rFonts w:hint="default" w:ascii="Times New Roman" w:hAnsi="Times New Roman" w:eastAsia="仿宋_GB2312" w:cs="Times New Roman"/>
          <w:color w:val="000000"/>
          <w:spacing w:val="0"/>
          <w:kern w:val="0"/>
          <w:sz w:val="32"/>
          <w:szCs w:val="32"/>
          <w:lang w:val="en-US" w:eastAsia="zh-CN" w:bidi="ar"/>
        </w:rPr>
        <w:t>、</w:t>
      </w:r>
      <w:r>
        <w:rPr>
          <w:rFonts w:hint="eastAsia" w:ascii="Times New Roman" w:hAnsi="Times New Roman" w:eastAsia="仿宋_GB2312" w:cs="Times New Roman"/>
          <w:color w:val="000000"/>
          <w:spacing w:val="0"/>
          <w:kern w:val="0"/>
          <w:sz w:val="32"/>
          <w:szCs w:val="32"/>
          <w:lang w:val="en-US" w:eastAsia="zh-CN" w:bidi="ar"/>
        </w:rPr>
        <w:t>“</w:t>
      </w:r>
      <w:r>
        <w:rPr>
          <w:rFonts w:hint="default" w:ascii="Times New Roman" w:hAnsi="Times New Roman" w:eastAsia="仿宋_GB2312" w:cs="Times New Roman"/>
          <w:color w:val="000000"/>
          <w:spacing w:val="0"/>
          <w:kern w:val="0"/>
          <w:sz w:val="32"/>
          <w:szCs w:val="32"/>
          <w:lang w:val="en-US" w:eastAsia="zh-CN" w:bidi="ar"/>
        </w:rPr>
        <w:t>档案管理服务</w:t>
      </w:r>
      <w:r>
        <w:rPr>
          <w:rFonts w:hint="eastAsia" w:ascii="Times New Roman" w:hAnsi="Times New Roman" w:eastAsia="仿宋_GB2312" w:cs="Times New Roman"/>
          <w:color w:val="000000"/>
          <w:spacing w:val="0"/>
          <w:kern w:val="0"/>
          <w:sz w:val="32"/>
          <w:szCs w:val="32"/>
          <w:lang w:val="en-US" w:eastAsia="zh-CN" w:bidi="ar"/>
        </w:rPr>
        <w:t>”</w:t>
      </w:r>
      <w:r>
        <w:rPr>
          <w:rFonts w:hint="default" w:ascii="Times New Roman" w:hAnsi="Times New Roman" w:eastAsia="仿宋_GB2312" w:cs="Times New Roman"/>
          <w:color w:val="000000"/>
          <w:spacing w:val="0"/>
          <w:kern w:val="0"/>
          <w:sz w:val="32"/>
          <w:szCs w:val="32"/>
          <w:lang w:val="en-US" w:eastAsia="zh-CN" w:bidi="ar"/>
        </w:rPr>
        <w:t>或与档案数字化服务相关的内容；</w:t>
      </w:r>
    </w:p>
    <w:p w14:paraId="574B6BAF">
      <w:pPr>
        <w:keepNext w:val="0"/>
        <w:keepLines w:val="0"/>
        <w:pageBreakBefore w:val="0"/>
        <w:widowControl w:val="0"/>
        <w:suppressLineNumbers w:val="0"/>
        <w:kinsoku/>
        <w:wordWrap/>
        <w:overflowPunct/>
        <w:topLinePunct w:val="0"/>
        <w:autoSpaceDE/>
        <w:autoSpaceDN/>
        <w:bidi w:val="0"/>
        <w:adjustRightInd/>
        <w:snapToGrid/>
        <w:spacing w:line="560" w:lineRule="exact"/>
        <w:ind w:left="0" w:firstLine="612" w:firstLineChars="200"/>
        <w:jc w:val="left"/>
        <w:textAlignment w:val="auto"/>
        <w:rPr>
          <w:rFonts w:hint="default" w:ascii="Times New Roman" w:hAnsi="Times New Roman" w:eastAsia="仿宋_GB2312" w:cs="Times New Roman"/>
          <w:spacing w:val="0"/>
          <w:sz w:val="32"/>
          <w:szCs w:val="32"/>
        </w:rPr>
      </w:pPr>
      <w:r>
        <w:rPr>
          <w:rFonts w:hint="default" w:ascii="Times New Roman" w:hAnsi="Times New Roman" w:eastAsia="仿宋_GB2312" w:cs="Times New Roman"/>
          <w:color w:val="000000"/>
          <w:spacing w:val="0"/>
          <w:kern w:val="0"/>
          <w:sz w:val="32"/>
          <w:szCs w:val="32"/>
          <w:lang w:val="en-US" w:eastAsia="zh-CN" w:bidi="ar"/>
        </w:rPr>
        <w:t>3.</w:t>
      </w:r>
      <w:r>
        <w:rPr>
          <w:rFonts w:hint="eastAsia" w:ascii="Times New Roman" w:hAnsi="Times New Roman" w:eastAsia="仿宋_GB2312" w:cs="Times New Roman"/>
          <w:color w:val="000000"/>
          <w:spacing w:val="0"/>
          <w:kern w:val="0"/>
          <w:sz w:val="32"/>
          <w:szCs w:val="32"/>
          <w:lang w:val="en-US" w:eastAsia="zh-CN" w:bidi="ar"/>
        </w:rPr>
        <w:t xml:space="preserve"> </w:t>
      </w:r>
      <w:r>
        <w:rPr>
          <w:rFonts w:hint="default" w:ascii="Times New Roman" w:hAnsi="Times New Roman" w:eastAsia="仿宋_GB2312" w:cs="Times New Roman"/>
          <w:color w:val="000000"/>
          <w:spacing w:val="0"/>
          <w:kern w:val="0"/>
          <w:sz w:val="32"/>
          <w:szCs w:val="32"/>
          <w:lang w:val="en-US" w:eastAsia="zh-CN" w:bidi="ar"/>
        </w:rPr>
        <w:t>采购人通过信用中国网、中国</w:t>
      </w:r>
      <w:r>
        <w:rPr>
          <w:rFonts w:hint="eastAsia" w:ascii="Times New Roman" w:hAnsi="Times New Roman" w:eastAsia="仿宋_GB2312" w:cs="Times New Roman"/>
          <w:color w:val="000000"/>
          <w:spacing w:val="0"/>
          <w:kern w:val="0"/>
          <w:sz w:val="32"/>
          <w:szCs w:val="32"/>
          <w:lang w:val="en-US" w:eastAsia="zh-CN" w:bidi="ar"/>
        </w:rPr>
        <w:t>政府</w:t>
      </w:r>
      <w:r>
        <w:rPr>
          <w:rFonts w:hint="default" w:ascii="Times New Roman" w:hAnsi="Times New Roman" w:eastAsia="仿宋_GB2312" w:cs="Times New Roman"/>
          <w:color w:val="000000"/>
          <w:spacing w:val="0"/>
          <w:kern w:val="0"/>
          <w:sz w:val="32"/>
          <w:szCs w:val="32"/>
          <w:lang w:val="en-US" w:eastAsia="zh-CN" w:bidi="ar"/>
        </w:rPr>
        <w:t>采购网查询企业信用记录的网页，列入失信被执行人、重大税收违法案件当事人名单不得参与本次采购活动。</w:t>
      </w:r>
    </w:p>
    <w:p w14:paraId="69453A91">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firstLine="612" w:firstLineChars="200"/>
        <w:textAlignment w:val="auto"/>
        <w:outlineLvl w:val="1"/>
        <w:rPr>
          <w:rFonts w:hint="eastAsia" w:ascii="Times New Roman" w:hAnsi="Times New Roman" w:eastAsia="黑体" w:cs="Times New Roman"/>
          <w:color w:val="auto"/>
          <w:spacing w:val="0"/>
          <w:sz w:val="32"/>
          <w:szCs w:val="32"/>
          <w:lang w:val="en-US" w:eastAsia="zh-CN"/>
        </w:rPr>
      </w:pPr>
      <w:r>
        <w:rPr>
          <w:rFonts w:hint="eastAsia" w:ascii="Times New Roman" w:hAnsi="Times New Roman" w:eastAsia="黑体" w:cs="Times New Roman"/>
          <w:kern w:val="2"/>
          <w:sz w:val="32"/>
          <w:szCs w:val="32"/>
          <w:lang w:val="en-US" w:eastAsia="zh-CN" w:bidi="ar-SA"/>
        </w:rPr>
        <w:t>供应商报价限价</w:t>
      </w:r>
    </w:p>
    <w:tbl>
      <w:tblPr>
        <w:tblStyle w:val="3"/>
        <w:tblpPr w:leftFromText="180" w:rightFromText="180" w:vertAnchor="text" w:horzAnchor="margin" w:tblpXSpec="center" w:tblpY="210"/>
        <w:tblOverlap w:val="never"/>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483"/>
        <w:gridCol w:w="3102"/>
        <w:gridCol w:w="1063"/>
        <w:gridCol w:w="1650"/>
        <w:gridCol w:w="1192"/>
      </w:tblGrid>
      <w:tr w14:paraId="2C1FA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10" w:type="dxa"/>
            <w:shd w:val="clear" w:color="auto" w:fill="FFFFFF"/>
            <w:noWrap w:val="0"/>
            <w:vAlign w:val="center"/>
          </w:tcPr>
          <w:p w14:paraId="3089DF64">
            <w:pPr>
              <w:keepNext w:val="0"/>
              <w:keepLines w:val="0"/>
              <w:pageBreakBefore w:val="0"/>
              <w:widowControl w:val="0"/>
              <w:kinsoku/>
              <w:wordWrap/>
              <w:overflowPunct/>
              <w:topLinePunct w:val="0"/>
              <w:autoSpaceDE/>
              <w:autoSpaceDN/>
              <w:bidi w:val="0"/>
              <w:adjustRightInd/>
              <w:snapToGrid/>
              <w:spacing w:line="320" w:lineRule="exact"/>
              <w:ind w:left="0" w:right="0" w:rightChars="0"/>
              <w:jc w:val="center"/>
              <w:textAlignment w:val="auto"/>
              <w:rPr>
                <w:rFonts w:hint="eastAsia" w:ascii="仿宋_GB2312" w:hAnsi="仿宋_GB2312" w:eastAsia="仿宋_GB2312" w:cs="仿宋_GB2312"/>
                <w:b/>
                <w:bCs/>
                <w:color w:val="000000" w:themeColor="text1"/>
                <w:spacing w:val="0"/>
                <w:sz w:val="24"/>
                <w:szCs w:val="24"/>
                <w:highlight w:val="none"/>
                <w14:textFill>
                  <w14:solidFill>
                    <w14:schemeClr w14:val="tx1"/>
                  </w14:solidFill>
                </w14:textFill>
              </w:rPr>
            </w:pPr>
            <w:r>
              <w:rPr>
                <w:rFonts w:hint="eastAsia" w:ascii="仿宋_GB2312" w:hAnsi="仿宋_GB2312" w:eastAsia="仿宋_GB2312" w:cs="仿宋_GB2312"/>
                <w:b/>
                <w:bCs/>
                <w:color w:val="000000" w:themeColor="text1"/>
                <w:spacing w:val="0"/>
                <w:sz w:val="24"/>
                <w:szCs w:val="24"/>
                <w:highlight w:val="none"/>
                <w14:textFill>
                  <w14:solidFill>
                    <w14:schemeClr w14:val="tx1"/>
                  </w14:solidFill>
                </w14:textFill>
              </w:rPr>
              <w:t>序号</w:t>
            </w:r>
          </w:p>
        </w:tc>
        <w:tc>
          <w:tcPr>
            <w:tcW w:w="1483" w:type="dxa"/>
            <w:shd w:val="clear" w:color="auto" w:fill="FFFFFF"/>
            <w:noWrap w:val="0"/>
            <w:vAlign w:val="center"/>
          </w:tcPr>
          <w:p w14:paraId="77129FD5">
            <w:pPr>
              <w:keepNext w:val="0"/>
              <w:keepLines w:val="0"/>
              <w:pageBreakBefore w:val="0"/>
              <w:widowControl w:val="0"/>
              <w:kinsoku/>
              <w:wordWrap/>
              <w:overflowPunct/>
              <w:topLinePunct w:val="0"/>
              <w:autoSpaceDE/>
              <w:autoSpaceDN/>
              <w:bidi w:val="0"/>
              <w:adjustRightInd/>
              <w:snapToGrid/>
              <w:spacing w:line="320" w:lineRule="exact"/>
              <w:ind w:left="0" w:right="0" w:rightChars="0"/>
              <w:jc w:val="center"/>
              <w:textAlignment w:val="auto"/>
              <w:rPr>
                <w:rFonts w:hint="eastAsia" w:ascii="仿宋_GB2312" w:hAnsi="仿宋_GB2312" w:eastAsia="仿宋_GB2312" w:cs="仿宋_GB2312"/>
                <w:b/>
                <w:bCs/>
                <w:color w:val="000000" w:themeColor="text1"/>
                <w:spacing w:val="0"/>
                <w:sz w:val="24"/>
                <w:szCs w:val="24"/>
                <w:highlight w:val="none"/>
                <w14:textFill>
                  <w14:solidFill>
                    <w14:schemeClr w14:val="tx1"/>
                  </w14:solidFill>
                </w14:textFill>
              </w:rPr>
            </w:pPr>
            <w:r>
              <w:rPr>
                <w:rFonts w:hint="eastAsia" w:ascii="仿宋_GB2312" w:hAnsi="仿宋_GB2312" w:eastAsia="仿宋_GB2312" w:cs="仿宋_GB2312"/>
                <w:b/>
                <w:bCs/>
                <w:color w:val="000000" w:themeColor="text1"/>
                <w:spacing w:val="0"/>
                <w:sz w:val="24"/>
                <w:szCs w:val="24"/>
                <w:highlight w:val="none"/>
                <w14:textFill>
                  <w14:solidFill>
                    <w14:schemeClr w14:val="tx1"/>
                  </w14:solidFill>
                </w14:textFill>
              </w:rPr>
              <w:t>服务内容</w:t>
            </w:r>
          </w:p>
        </w:tc>
        <w:tc>
          <w:tcPr>
            <w:tcW w:w="3102" w:type="dxa"/>
            <w:shd w:val="clear" w:color="auto" w:fill="FFFFFF"/>
            <w:noWrap w:val="0"/>
            <w:vAlign w:val="center"/>
          </w:tcPr>
          <w:p w14:paraId="226D3E7E">
            <w:pPr>
              <w:keepNext w:val="0"/>
              <w:keepLines w:val="0"/>
              <w:pageBreakBefore w:val="0"/>
              <w:widowControl w:val="0"/>
              <w:kinsoku/>
              <w:wordWrap/>
              <w:overflowPunct/>
              <w:topLinePunct w:val="0"/>
              <w:autoSpaceDE/>
              <w:autoSpaceDN/>
              <w:bidi w:val="0"/>
              <w:adjustRightInd/>
              <w:snapToGrid/>
              <w:spacing w:line="320" w:lineRule="exact"/>
              <w:ind w:left="0" w:right="0" w:rightChars="0"/>
              <w:jc w:val="center"/>
              <w:textAlignment w:val="auto"/>
              <w:rPr>
                <w:rFonts w:hint="eastAsia" w:ascii="仿宋_GB2312" w:hAnsi="仿宋_GB2312" w:eastAsia="仿宋_GB2312" w:cs="仿宋_GB2312"/>
                <w:b/>
                <w:bCs/>
                <w:color w:val="000000" w:themeColor="text1"/>
                <w:spacing w:val="0"/>
                <w:sz w:val="24"/>
                <w:szCs w:val="24"/>
                <w:highlight w:val="none"/>
                <w14:textFill>
                  <w14:solidFill>
                    <w14:schemeClr w14:val="tx1"/>
                  </w14:solidFill>
                </w14:textFill>
              </w:rPr>
            </w:pPr>
            <w:r>
              <w:rPr>
                <w:rFonts w:hint="eastAsia" w:ascii="仿宋_GB2312" w:hAnsi="仿宋_GB2312" w:eastAsia="仿宋_GB2312" w:cs="仿宋_GB2312"/>
                <w:b/>
                <w:bCs/>
                <w:color w:val="000000" w:themeColor="text1"/>
                <w:spacing w:val="0"/>
                <w:sz w:val="24"/>
                <w:szCs w:val="24"/>
                <w:highlight w:val="none"/>
                <w14:textFill>
                  <w14:solidFill>
                    <w14:schemeClr w14:val="tx1"/>
                  </w14:solidFill>
                </w14:textFill>
              </w:rPr>
              <w:t>内容描述</w:t>
            </w:r>
          </w:p>
        </w:tc>
        <w:tc>
          <w:tcPr>
            <w:tcW w:w="1063" w:type="dxa"/>
            <w:shd w:val="clear" w:color="auto" w:fill="FFFFFF"/>
            <w:noWrap w:val="0"/>
            <w:vAlign w:val="center"/>
          </w:tcPr>
          <w:p w14:paraId="30F4331B">
            <w:pPr>
              <w:keepNext w:val="0"/>
              <w:keepLines w:val="0"/>
              <w:pageBreakBefore w:val="0"/>
              <w:widowControl w:val="0"/>
              <w:kinsoku/>
              <w:wordWrap/>
              <w:overflowPunct/>
              <w:topLinePunct w:val="0"/>
              <w:autoSpaceDE/>
              <w:autoSpaceDN/>
              <w:bidi w:val="0"/>
              <w:adjustRightInd/>
              <w:snapToGrid/>
              <w:spacing w:line="320" w:lineRule="exact"/>
              <w:ind w:left="0" w:right="0" w:rightChars="0"/>
              <w:jc w:val="center"/>
              <w:textAlignment w:val="auto"/>
              <w:rPr>
                <w:rFonts w:hint="eastAsia" w:ascii="仿宋_GB2312" w:hAnsi="仿宋_GB2312" w:eastAsia="仿宋_GB2312" w:cs="仿宋_GB2312"/>
                <w:b/>
                <w:bCs/>
                <w:color w:val="000000" w:themeColor="text1"/>
                <w:spacing w:val="0"/>
                <w:sz w:val="24"/>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pacing w:val="0"/>
                <w:sz w:val="24"/>
                <w:szCs w:val="24"/>
                <w:highlight w:val="none"/>
                <w:lang w:val="en-US" w:eastAsia="zh-CN"/>
                <w14:textFill>
                  <w14:solidFill>
                    <w14:schemeClr w14:val="tx1"/>
                  </w14:solidFill>
                </w14:textFill>
              </w:rPr>
              <w:t>数量</w:t>
            </w:r>
          </w:p>
        </w:tc>
        <w:tc>
          <w:tcPr>
            <w:tcW w:w="1650" w:type="dxa"/>
            <w:shd w:val="clear" w:color="auto" w:fill="FFFFFF"/>
            <w:noWrap w:val="0"/>
            <w:vAlign w:val="center"/>
          </w:tcPr>
          <w:p w14:paraId="5549912F">
            <w:pPr>
              <w:keepNext w:val="0"/>
              <w:keepLines w:val="0"/>
              <w:pageBreakBefore w:val="0"/>
              <w:widowControl w:val="0"/>
              <w:kinsoku/>
              <w:wordWrap/>
              <w:overflowPunct/>
              <w:topLinePunct w:val="0"/>
              <w:autoSpaceDE/>
              <w:autoSpaceDN/>
              <w:bidi w:val="0"/>
              <w:adjustRightInd/>
              <w:snapToGrid/>
              <w:spacing w:line="320" w:lineRule="exact"/>
              <w:ind w:left="0" w:right="0" w:rightChars="0"/>
              <w:jc w:val="center"/>
              <w:textAlignment w:val="auto"/>
              <w:rPr>
                <w:rFonts w:hint="default" w:ascii="仿宋_GB2312" w:hAnsi="仿宋_GB2312" w:eastAsia="仿宋_GB2312" w:cs="仿宋_GB2312"/>
                <w:b/>
                <w:bCs/>
                <w:color w:val="000000" w:themeColor="text1"/>
                <w:spacing w:val="0"/>
                <w:sz w:val="24"/>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 w:val="24"/>
                <w:szCs w:val="24"/>
                <w:highlight w:val="none"/>
                <w:lang w:val="en-US" w:eastAsia="zh-CN"/>
                <w14:textFill>
                  <w14:solidFill>
                    <w14:schemeClr w14:val="tx1"/>
                  </w14:solidFill>
                </w14:textFill>
              </w:rPr>
              <w:t>最高单价限价</w:t>
            </w:r>
          </w:p>
        </w:tc>
        <w:tc>
          <w:tcPr>
            <w:tcW w:w="1192" w:type="dxa"/>
            <w:shd w:val="clear" w:color="auto" w:fill="FFFFFF"/>
            <w:noWrap w:val="0"/>
            <w:vAlign w:val="center"/>
          </w:tcPr>
          <w:p w14:paraId="5E43F830">
            <w:pPr>
              <w:keepNext w:val="0"/>
              <w:keepLines w:val="0"/>
              <w:pageBreakBefore w:val="0"/>
              <w:widowControl w:val="0"/>
              <w:kinsoku/>
              <w:wordWrap/>
              <w:overflowPunct/>
              <w:topLinePunct w:val="0"/>
              <w:autoSpaceDE/>
              <w:autoSpaceDN/>
              <w:bidi w:val="0"/>
              <w:adjustRightInd/>
              <w:snapToGrid/>
              <w:spacing w:line="320" w:lineRule="exact"/>
              <w:ind w:left="0" w:right="0" w:rightChars="0"/>
              <w:jc w:val="center"/>
              <w:textAlignment w:val="auto"/>
              <w:rPr>
                <w:rFonts w:hint="eastAsia" w:ascii="仿宋_GB2312" w:hAnsi="仿宋_GB2312" w:eastAsia="仿宋_GB2312" w:cs="仿宋_GB2312"/>
                <w:b/>
                <w:bCs/>
                <w:color w:val="000000" w:themeColor="text1"/>
                <w:spacing w:val="0"/>
                <w:sz w:val="24"/>
                <w:szCs w:val="24"/>
                <w:highlight w:val="none"/>
                <w14:textFill>
                  <w14:solidFill>
                    <w14:schemeClr w14:val="tx1"/>
                  </w14:solidFill>
                </w14:textFill>
              </w:rPr>
            </w:pPr>
            <w:r>
              <w:rPr>
                <w:rFonts w:hint="eastAsia" w:ascii="仿宋_GB2312" w:hAnsi="仿宋_GB2312" w:eastAsia="仿宋_GB2312" w:cs="仿宋_GB2312"/>
                <w:b/>
                <w:bCs/>
                <w:color w:val="000000" w:themeColor="text1"/>
                <w:spacing w:val="0"/>
                <w:sz w:val="24"/>
                <w:szCs w:val="24"/>
                <w:highlight w:val="none"/>
                <w14:textFill>
                  <w14:solidFill>
                    <w14:schemeClr w14:val="tx1"/>
                  </w14:solidFill>
                </w14:textFill>
              </w:rPr>
              <w:t>备注</w:t>
            </w:r>
          </w:p>
        </w:tc>
      </w:tr>
      <w:tr w14:paraId="3B348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710" w:type="dxa"/>
            <w:shd w:val="clear" w:color="auto" w:fill="FFFFFF"/>
            <w:noWrap w:val="0"/>
            <w:vAlign w:val="center"/>
          </w:tcPr>
          <w:p w14:paraId="48EF3780">
            <w:pPr>
              <w:keepNext w:val="0"/>
              <w:keepLines w:val="0"/>
              <w:pageBreakBefore w:val="0"/>
              <w:widowControl w:val="0"/>
              <w:kinsoku/>
              <w:wordWrap/>
              <w:overflowPunct/>
              <w:topLinePunct w:val="0"/>
              <w:autoSpaceDE/>
              <w:autoSpaceDN/>
              <w:bidi w:val="0"/>
              <w:adjustRightInd/>
              <w:snapToGrid/>
              <w:spacing w:line="320" w:lineRule="exact"/>
              <w:ind w:left="0" w:right="0" w:rightChars="0"/>
              <w:jc w:val="center"/>
              <w:textAlignment w:val="auto"/>
              <w:rPr>
                <w:rFonts w:hint="eastAsia" w:ascii="仿宋_GB2312" w:hAnsi="仿宋_GB2312" w:eastAsia="仿宋_GB2312" w:cs="仿宋_GB2312"/>
                <w:bCs/>
                <w:color w:val="000000" w:themeColor="text1"/>
                <w:spacing w:val="0"/>
                <w:sz w:val="24"/>
                <w:szCs w:val="24"/>
                <w:highlight w:val="none"/>
                <w:lang w:val="en-US" w:eastAsia="zh-CN"/>
                <w14:textFill>
                  <w14:solidFill>
                    <w14:schemeClr w14:val="tx1"/>
                  </w14:solidFill>
                </w14:textFill>
              </w:rPr>
            </w:pPr>
            <w:r>
              <w:rPr>
                <w:rFonts w:hint="eastAsia" w:ascii="仿宋_GB2312" w:hAnsi="仿宋_GB2312" w:eastAsia="仿宋_GB2312" w:cs="仿宋_GB2312"/>
                <w:bCs/>
                <w:color w:val="000000" w:themeColor="text1"/>
                <w:spacing w:val="0"/>
                <w:sz w:val="24"/>
                <w:szCs w:val="24"/>
                <w:highlight w:val="none"/>
                <w:lang w:val="en-US" w:eastAsia="zh-CN"/>
                <w14:textFill>
                  <w14:solidFill>
                    <w14:schemeClr w14:val="tx1"/>
                  </w14:solidFill>
                </w14:textFill>
              </w:rPr>
              <w:t>1</w:t>
            </w:r>
          </w:p>
        </w:tc>
        <w:tc>
          <w:tcPr>
            <w:tcW w:w="1483" w:type="dxa"/>
            <w:shd w:val="clear" w:color="auto" w:fill="FFFFFF"/>
            <w:noWrap w:val="0"/>
            <w:vAlign w:val="center"/>
          </w:tcPr>
          <w:p w14:paraId="6240A05C">
            <w:pPr>
              <w:keepNext w:val="0"/>
              <w:keepLines w:val="0"/>
              <w:pageBreakBefore w:val="0"/>
              <w:widowControl w:val="0"/>
              <w:kinsoku/>
              <w:wordWrap/>
              <w:overflowPunct/>
              <w:topLinePunct w:val="0"/>
              <w:autoSpaceDE/>
              <w:autoSpaceDN/>
              <w:bidi w:val="0"/>
              <w:adjustRightInd/>
              <w:snapToGrid/>
              <w:spacing w:line="320" w:lineRule="exact"/>
              <w:ind w:left="0" w:right="0" w:rightChars="0" w:firstLine="0" w:firstLineChars="0"/>
              <w:jc w:val="center"/>
              <w:textAlignment w:val="auto"/>
              <w:rPr>
                <w:rFonts w:hint="eastAsia" w:ascii="仿宋_GB2312" w:hAnsi="仿宋_GB2312" w:eastAsia="仿宋_GB2312" w:cs="仿宋_GB2312"/>
                <w:color w:val="000000" w:themeColor="text1"/>
                <w:spacing w:val="0"/>
                <w:kern w:val="0"/>
                <w:sz w:val="24"/>
                <w:szCs w:val="24"/>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spacing w:val="0"/>
                <w:sz w:val="24"/>
                <w:szCs w:val="24"/>
                <w:highlight w:val="none"/>
                <w:lang w:val="en-US" w:eastAsia="zh-CN"/>
                <w14:textFill>
                  <w14:solidFill>
                    <w14:schemeClr w14:val="tx1"/>
                  </w14:solidFill>
                </w14:textFill>
              </w:rPr>
              <w:t>干部人事</w:t>
            </w:r>
            <w:r>
              <w:rPr>
                <w:rFonts w:hint="eastAsia" w:ascii="仿宋_GB2312" w:hAnsi="仿宋_GB2312" w:eastAsia="仿宋_GB2312" w:cs="仿宋_GB2312"/>
                <w:bCs/>
                <w:color w:val="000000" w:themeColor="text1"/>
                <w:spacing w:val="0"/>
                <w:sz w:val="24"/>
                <w:szCs w:val="24"/>
                <w:highlight w:val="none"/>
                <w:lang w:val="en-US" w:eastAsia="zh-CN"/>
                <w14:textFill>
                  <w14:solidFill>
                    <w14:schemeClr w14:val="tx1"/>
                  </w14:solidFill>
                </w14:textFill>
              </w:rPr>
              <w:t>档案数字化</w:t>
            </w:r>
          </w:p>
        </w:tc>
        <w:tc>
          <w:tcPr>
            <w:tcW w:w="3102" w:type="dxa"/>
            <w:shd w:val="clear" w:color="auto" w:fill="FFFFFF"/>
            <w:noWrap w:val="0"/>
            <w:vAlign w:val="center"/>
          </w:tcPr>
          <w:p w14:paraId="4E35D05E">
            <w:pPr>
              <w:keepNext w:val="0"/>
              <w:keepLines w:val="0"/>
              <w:pageBreakBefore w:val="0"/>
              <w:widowControl w:val="0"/>
              <w:kinsoku/>
              <w:wordWrap/>
              <w:overflowPunct/>
              <w:topLinePunct w:val="0"/>
              <w:autoSpaceDE/>
              <w:autoSpaceDN/>
              <w:bidi w:val="0"/>
              <w:adjustRightInd/>
              <w:snapToGrid/>
              <w:spacing w:line="320" w:lineRule="exact"/>
              <w:ind w:left="0" w:right="0" w:rightChars="0"/>
              <w:jc w:val="both"/>
              <w:textAlignment w:val="auto"/>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t>1.档案扫描；2.图像处理；</w:t>
            </w:r>
          </w:p>
          <w:p w14:paraId="5BEED72C">
            <w:pPr>
              <w:keepNext w:val="0"/>
              <w:keepLines w:val="0"/>
              <w:pageBreakBefore w:val="0"/>
              <w:widowControl w:val="0"/>
              <w:kinsoku/>
              <w:wordWrap/>
              <w:overflowPunct/>
              <w:topLinePunct w:val="0"/>
              <w:autoSpaceDE/>
              <w:autoSpaceDN/>
              <w:bidi w:val="0"/>
              <w:adjustRightInd/>
              <w:snapToGrid/>
              <w:spacing w:line="320" w:lineRule="exact"/>
              <w:ind w:left="0" w:right="0" w:rightChars="0"/>
              <w:jc w:val="both"/>
              <w:textAlignment w:val="auto"/>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t>3.图像质检；4.数据验收；</w:t>
            </w:r>
          </w:p>
          <w:p w14:paraId="3D27FE85">
            <w:pPr>
              <w:keepNext w:val="0"/>
              <w:keepLines w:val="0"/>
              <w:pageBreakBefore w:val="0"/>
              <w:widowControl w:val="0"/>
              <w:kinsoku/>
              <w:wordWrap/>
              <w:overflowPunct/>
              <w:topLinePunct w:val="0"/>
              <w:autoSpaceDE/>
              <w:autoSpaceDN/>
              <w:bidi w:val="0"/>
              <w:adjustRightInd/>
              <w:snapToGrid/>
              <w:spacing w:line="320" w:lineRule="exact"/>
              <w:ind w:left="0" w:right="0" w:rightChars="0"/>
              <w:jc w:val="both"/>
              <w:textAlignment w:val="auto"/>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t>5.数据备份；6.装订入盒；</w:t>
            </w:r>
          </w:p>
          <w:p w14:paraId="58DC12FF">
            <w:pPr>
              <w:keepNext w:val="0"/>
              <w:keepLines w:val="0"/>
              <w:pageBreakBefore w:val="0"/>
              <w:widowControl w:val="0"/>
              <w:kinsoku/>
              <w:wordWrap/>
              <w:overflowPunct/>
              <w:topLinePunct w:val="0"/>
              <w:autoSpaceDE/>
              <w:autoSpaceDN/>
              <w:bidi w:val="0"/>
              <w:adjustRightInd/>
              <w:snapToGrid/>
              <w:spacing w:line="320" w:lineRule="exact"/>
              <w:ind w:left="0" w:right="0" w:rightChars="0"/>
              <w:jc w:val="both"/>
              <w:textAlignment w:val="auto"/>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t>7.总质检。</w:t>
            </w:r>
          </w:p>
        </w:tc>
        <w:tc>
          <w:tcPr>
            <w:tcW w:w="1063" w:type="dxa"/>
            <w:shd w:val="clear" w:color="auto" w:fill="FFFFFF"/>
            <w:noWrap w:val="0"/>
            <w:vAlign w:val="center"/>
          </w:tcPr>
          <w:p w14:paraId="01D90B03">
            <w:pPr>
              <w:keepNext w:val="0"/>
              <w:keepLines w:val="0"/>
              <w:pageBreakBefore w:val="0"/>
              <w:widowControl/>
              <w:kinsoku/>
              <w:wordWrap/>
              <w:overflowPunct/>
              <w:topLinePunct w:val="0"/>
              <w:autoSpaceDE/>
              <w:autoSpaceDN/>
              <w:bidi w:val="0"/>
              <w:adjustRightInd/>
              <w:snapToGrid/>
              <w:spacing w:line="320" w:lineRule="exact"/>
              <w:ind w:left="0" w:leftChars="0" w:right="0" w:rightChars="0"/>
              <w:jc w:val="center"/>
              <w:textAlignment w:val="auto"/>
              <w:rPr>
                <w:rFonts w:hint="default"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highlight w:val="none"/>
                <w:lang w:val="en-US" w:eastAsia="zh-CN"/>
                <w14:textFill>
                  <w14:solidFill>
                    <w14:schemeClr w14:val="tx1"/>
                  </w14:solidFill>
                </w14:textFill>
              </w:rPr>
              <w:t>260份</w:t>
            </w:r>
          </w:p>
        </w:tc>
        <w:tc>
          <w:tcPr>
            <w:tcW w:w="1650" w:type="dxa"/>
            <w:shd w:val="clear" w:color="auto" w:fill="FFFFFF"/>
            <w:noWrap w:val="0"/>
            <w:vAlign w:val="center"/>
          </w:tcPr>
          <w:p w14:paraId="40159034">
            <w:pPr>
              <w:keepNext w:val="0"/>
              <w:keepLines w:val="0"/>
              <w:pageBreakBefore w:val="0"/>
              <w:widowControl/>
              <w:kinsoku/>
              <w:wordWrap/>
              <w:overflowPunct/>
              <w:topLinePunct w:val="0"/>
              <w:autoSpaceDE/>
              <w:autoSpaceDN/>
              <w:bidi w:val="0"/>
              <w:adjustRightInd/>
              <w:snapToGrid/>
              <w:spacing w:line="320" w:lineRule="exact"/>
              <w:ind w:left="0" w:leftChars="0" w:right="0" w:rightChars="0"/>
              <w:jc w:val="center"/>
              <w:textAlignment w:val="auto"/>
              <w:rPr>
                <w:rFonts w:hint="default"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highlight w:val="none"/>
                <w:lang w:val="en-US" w:eastAsia="zh-CN"/>
                <w14:textFill>
                  <w14:solidFill>
                    <w14:schemeClr w14:val="tx1"/>
                  </w14:solidFill>
                </w14:textFill>
              </w:rPr>
              <w:t>180</w:t>
            </w:r>
            <w:r>
              <w:rPr>
                <w:rFonts w:hint="eastAsia" w:ascii="仿宋_GB2312" w:hAnsi="仿宋_GB2312" w:eastAsia="仿宋_GB2312" w:cs="仿宋_GB2312"/>
                <w:color w:val="000000" w:themeColor="text1"/>
                <w:kern w:val="0"/>
                <w:sz w:val="24"/>
                <w:szCs w:val="24"/>
                <w:highlight w:val="none"/>
                <w14:textFill>
                  <w14:solidFill>
                    <w14:schemeClr w14:val="tx1"/>
                  </w14:solidFill>
                </w14:textFill>
              </w:rPr>
              <w:t>元</w:t>
            </w:r>
            <w:r>
              <w:rPr>
                <w:rFonts w:hint="eastAsia" w:ascii="仿宋_GB2312" w:hAnsi="仿宋_GB2312" w:eastAsia="仿宋_GB2312" w:cs="仿宋_GB2312"/>
                <w:color w:val="000000" w:themeColor="text1"/>
                <w:kern w:val="0"/>
                <w:sz w:val="24"/>
                <w:szCs w:val="24"/>
                <w:highlight w:val="none"/>
                <w:lang w:val="en-US" w:eastAsia="zh-CN"/>
                <w14:textFill>
                  <w14:solidFill>
                    <w14:schemeClr w14:val="tx1"/>
                  </w14:solidFill>
                </w14:textFill>
              </w:rPr>
              <w:t>/份</w:t>
            </w:r>
          </w:p>
        </w:tc>
        <w:tc>
          <w:tcPr>
            <w:tcW w:w="1192" w:type="dxa"/>
            <w:shd w:val="clear" w:color="auto" w:fill="FFFFFF"/>
            <w:noWrap w:val="0"/>
            <w:vAlign w:val="center"/>
          </w:tcPr>
          <w:p w14:paraId="5E08AFA4">
            <w:pPr>
              <w:keepNext w:val="0"/>
              <w:keepLines w:val="0"/>
              <w:pageBreakBefore w:val="0"/>
              <w:widowControl w:val="0"/>
              <w:kinsoku/>
              <w:wordWrap/>
              <w:overflowPunct/>
              <w:topLinePunct w:val="0"/>
              <w:autoSpaceDE/>
              <w:autoSpaceDN/>
              <w:bidi w:val="0"/>
              <w:adjustRightInd/>
              <w:snapToGrid/>
              <w:spacing w:line="320" w:lineRule="exact"/>
              <w:ind w:left="0" w:right="0" w:rightChars="0"/>
              <w:jc w:val="center"/>
              <w:textAlignment w:val="auto"/>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t>据实结算</w:t>
            </w:r>
          </w:p>
        </w:tc>
      </w:tr>
      <w:tr w14:paraId="02102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jc w:val="center"/>
        </w:trPr>
        <w:tc>
          <w:tcPr>
            <w:tcW w:w="710" w:type="dxa"/>
            <w:shd w:val="clear" w:color="auto" w:fill="FFFFFF"/>
            <w:noWrap w:val="0"/>
            <w:vAlign w:val="center"/>
          </w:tcPr>
          <w:p w14:paraId="54290B63">
            <w:pPr>
              <w:keepNext w:val="0"/>
              <w:keepLines w:val="0"/>
              <w:pageBreakBefore w:val="0"/>
              <w:widowControl w:val="0"/>
              <w:kinsoku/>
              <w:wordWrap/>
              <w:overflowPunct/>
              <w:topLinePunct w:val="0"/>
              <w:autoSpaceDE/>
              <w:autoSpaceDN/>
              <w:bidi w:val="0"/>
              <w:adjustRightInd/>
              <w:snapToGrid/>
              <w:spacing w:line="320" w:lineRule="exact"/>
              <w:ind w:left="0" w:right="0" w:rightChars="0"/>
              <w:jc w:val="center"/>
              <w:textAlignment w:val="auto"/>
              <w:rPr>
                <w:rFonts w:hint="eastAsia" w:ascii="仿宋_GB2312" w:hAnsi="仿宋_GB2312" w:eastAsia="仿宋_GB2312" w:cs="仿宋_GB2312"/>
                <w:bCs/>
                <w:color w:val="000000" w:themeColor="text1"/>
                <w:spacing w:val="0"/>
                <w:sz w:val="24"/>
                <w:szCs w:val="24"/>
                <w:highlight w:val="none"/>
                <w:lang w:val="en-US" w:eastAsia="zh-CN"/>
                <w14:textFill>
                  <w14:solidFill>
                    <w14:schemeClr w14:val="tx1"/>
                  </w14:solidFill>
                </w14:textFill>
              </w:rPr>
            </w:pPr>
            <w:r>
              <w:rPr>
                <w:rFonts w:hint="eastAsia" w:ascii="仿宋_GB2312" w:hAnsi="仿宋_GB2312" w:eastAsia="仿宋_GB2312" w:cs="仿宋_GB2312"/>
                <w:bCs/>
                <w:color w:val="000000" w:themeColor="text1"/>
                <w:spacing w:val="0"/>
                <w:sz w:val="24"/>
                <w:szCs w:val="24"/>
                <w:highlight w:val="none"/>
                <w:lang w:val="en-US" w:eastAsia="zh-CN"/>
                <w14:textFill>
                  <w14:solidFill>
                    <w14:schemeClr w14:val="tx1"/>
                  </w14:solidFill>
                </w14:textFill>
              </w:rPr>
              <w:t>2</w:t>
            </w:r>
          </w:p>
        </w:tc>
        <w:tc>
          <w:tcPr>
            <w:tcW w:w="1483" w:type="dxa"/>
            <w:shd w:val="clear" w:color="auto" w:fill="FFFFFF"/>
            <w:noWrap w:val="0"/>
            <w:vAlign w:val="center"/>
          </w:tcPr>
          <w:p w14:paraId="132AE901">
            <w:pPr>
              <w:keepNext w:val="0"/>
              <w:keepLines w:val="0"/>
              <w:pageBreakBefore w:val="0"/>
              <w:widowControl w:val="0"/>
              <w:kinsoku/>
              <w:wordWrap/>
              <w:overflowPunct/>
              <w:topLinePunct w:val="0"/>
              <w:autoSpaceDE/>
              <w:autoSpaceDN/>
              <w:bidi w:val="0"/>
              <w:adjustRightInd/>
              <w:snapToGrid/>
              <w:spacing w:line="320" w:lineRule="exact"/>
              <w:ind w:left="0" w:right="0" w:rightChars="0" w:firstLine="0" w:firstLineChars="0"/>
              <w:jc w:val="center"/>
              <w:textAlignment w:val="auto"/>
              <w:rPr>
                <w:rFonts w:hint="eastAsia" w:ascii="仿宋_GB2312" w:hAnsi="仿宋_GB2312" w:eastAsia="仿宋_GB2312" w:cs="仿宋_GB2312"/>
                <w:bCs/>
                <w:color w:val="000000" w:themeColor="text1"/>
                <w:spacing w:val="0"/>
                <w:sz w:val="24"/>
                <w:szCs w:val="24"/>
                <w:highlight w:val="none"/>
                <w:lang w:val="en-US" w:eastAsia="zh-CN"/>
                <w14:textFill>
                  <w14:solidFill>
                    <w14:schemeClr w14:val="tx1"/>
                  </w14:solidFill>
                </w14:textFill>
              </w:rPr>
            </w:pPr>
            <w:r>
              <w:rPr>
                <w:rFonts w:hint="eastAsia" w:ascii="仿宋_GB2312" w:hAnsi="仿宋_GB2312" w:eastAsia="仿宋_GB2312" w:cs="仿宋_GB2312"/>
                <w:bCs/>
                <w:color w:val="000000" w:themeColor="text1"/>
                <w:spacing w:val="0"/>
                <w:sz w:val="24"/>
                <w:szCs w:val="24"/>
                <w:highlight w:val="none"/>
                <w:lang w:val="en-US" w:eastAsia="zh-CN"/>
                <w14:textFill>
                  <w14:solidFill>
                    <w14:schemeClr w14:val="tx1"/>
                  </w14:solidFill>
                </w14:textFill>
              </w:rPr>
              <w:t>档案信息提取及录入</w:t>
            </w:r>
          </w:p>
        </w:tc>
        <w:tc>
          <w:tcPr>
            <w:tcW w:w="3102" w:type="dxa"/>
            <w:shd w:val="clear" w:color="auto" w:fill="FFFFFF"/>
            <w:noWrap w:val="0"/>
            <w:vAlign w:val="center"/>
          </w:tcPr>
          <w:p w14:paraId="60C3D373">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right="0" w:rightChars="0"/>
              <w:jc w:val="both"/>
              <w:textAlignment w:val="auto"/>
              <w:rPr>
                <w:rFonts w:hint="eastAsia" w:ascii="仿宋_GB2312" w:hAnsi="仿宋_GB2312" w:eastAsia="仿宋_GB2312" w:cs="仿宋_GB2312"/>
                <w:bCs/>
                <w:color w:val="000000" w:themeColor="text1"/>
                <w:spacing w:val="0"/>
                <w:sz w:val="24"/>
                <w:szCs w:val="24"/>
                <w:highlight w:val="none"/>
                <w:lang w:val="en-US" w:eastAsia="zh-CN"/>
                <w14:textFill>
                  <w14:solidFill>
                    <w14:schemeClr w14:val="tx1"/>
                  </w14:solidFill>
                </w14:textFill>
              </w:rPr>
            </w:pPr>
            <w:r>
              <w:rPr>
                <w:rFonts w:hint="eastAsia" w:ascii="仿宋_GB2312" w:hAnsi="仿宋_GB2312" w:eastAsia="仿宋_GB2312" w:cs="仿宋_GB2312"/>
                <w:bCs/>
                <w:color w:val="000000" w:themeColor="text1"/>
                <w:spacing w:val="0"/>
                <w:sz w:val="24"/>
                <w:szCs w:val="24"/>
                <w:highlight w:val="none"/>
                <w:lang w:val="en-US" w:eastAsia="zh-CN"/>
                <w14:textFill>
                  <w14:solidFill>
                    <w14:schemeClr w14:val="tx1"/>
                  </w14:solidFill>
                </w14:textFill>
              </w:rPr>
              <w:t>1.信息录入；</w:t>
            </w:r>
          </w:p>
          <w:p w14:paraId="0BFBA873">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right="0" w:rightChars="0"/>
              <w:jc w:val="both"/>
              <w:textAlignment w:val="auto"/>
              <w:rPr>
                <w:rFonts w:hint="eastAsia" w:ascii="仿宋_GB2312" w:hAnsi="仿宋_GB2312" w:eastAsia="仿宋_GB2312" w:cs="仿宋_GB2312"/>
                <w:bCs/>
                <w:color w:val="000000" w:themeColor="text1"/>
                <w:spacing w:val="0"/>
                <w:sz w:val="24"/>
                <w:szCs w:val="24"/>
                <w:highlight w:val="none"/>
                <w:lang w:val="en-US" w:eastAsia="zh-CN"/>
                <w14:textFill>
                  <w14:solidFill>
                    <w14:schemeClr w14:val="tx1"/>
                  </w14:solidFill>
                </w14:textFill>
              </w:rPr>
            </w:pPr>
            <w:r>
              <w:rPr>
                <w:rFonts w:hint="eastAsia" w:ascii="仿宋_GB2312" w:hAnsi="仿宋_GB2312" w:eastAsia="仿宋_GB2312" w:cs="仿宋_GB2312"/>
                <w:bCs/>
                <w:color w:val="000000" w:themeColor="text1"/>
                <w:spacing w:val="0"/>
                <w:sz w:val="24"/>
                <w:szCs w:val="24"/>
                <w:highlight w:val="none"/>
                <w:lang w:val="en-US" w:eastAsia="zh-CN"/>
                <w14:textFill>
                  <w14:solidFill>
                    <w14:schemeClr w14:val="tx1"/>
                  </w14:solidFill>
                </w14:textFill>
              </w:rPr>
              <w:t>2.数据校验与审核；</w:t>
            </w:r>
          </w:p>
          <w:p w14:paraId="206B206C">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right="0" w:rightChars="0"/>
              <w:jc w:val="both"/>
              <w:textAlignment w:val="auto"/>
              <w:rPr>
                <w:rFonts w:hint="eastAsia" w:ascii="仿宋_GB2312" w:hAnsi="仿宋_GB2312" w:eastAsia="仿宋_GB2312" w:cs="仿宋_GB2312"/>
                <w:bCs/>
                <w:color w:val="000000" w:themeColor="text1"/>
                <w:spacing w:val="0"/>
                <w:sz w:val="24"/>
                <w:szCs w:val="24"/>
                <w:highlight w:val="none"/>
                <w:lang w:val="en-US" w:eastAsia="zh-CN"/>
                <w14:textFill>
                  <w14:solidFill>
                    <w14:schemeClr w14:val="tx1"/>
                  </w14:solidFill>
                </w14:textFill>
              </w:rPr>
            </w:pPr>
            <w:r>
              <w:rPr>
                <w:rFonts w:hint="eastAsia" w:ascii="仿宋_GB2312" w:hAnsi="仿宋_GB2312" w:eastAsia="仿宋_GB2312" w:cs="仿宋_GB2312"/>
                <w:bCs/>
                <w:color w:val="000000" w:themeColor="text1"/>
                <w:spacing w:val="0"/>
                <w:sz w:val="24"/>
                <w:szCs w:val="24"/>
                <w:highlight w:val="none"/>
                <w:lang w:val="en-US" w:eastAsia="zh-CN"/>
                <w14:textFill>
                  <w14:solidFill>
                    <w14:schemeClr w14:val="tx1"/>
                  </w14:solidFill>
                </w14:textFill>
              </w:rPr>
              <w:t>3.问题处理与反馈。</w:t>
            </w:r>
          </w:p>
        </w:tc>
        <w:tc>
          <w:tcPr>
            <w:tcW w:w="1063" w:type="dxa"/>
            <w:shd w:val="clear" w:color="auto" w:fill="FFFFFF"/>
            <w:noWrap w:val="0"/>
            <w:vAlign w:val="center"/>
          </w:tcPr>
          <w:p w14:paraId="590A5EB5">
            <w:pPr>
              <w:keepNext w:val="0"/>
              <w:keepLines w:val="0"/>
              <w:pageBreakBefore w:val="0"/>
              <w:widowControl/>
              <w:kinsoku/>
              <w:wordWrap/>
              <w:overflowPunct/>
              <w:topLinePunct w:val="0"/>
              <w:autoSpaceDE/>
              <w:autoSpaceDN/>
              <w:bidi w:val="0"/>
              <w:adjustRightInd/>
              <w:snapToGrid/>
              <w:spacing w:line="320" w:lineRule="exact"/>
              <w:ind w:left="0" w:leftChars="0" w:right="0" w:rightChars="0"/>
              <w:jc w:val="center"/>
              <w:textAlignment w:val="auto"/>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highlight w:val="none"/>
                <w:lang w:val="en-US" w:eastAsia="zh-CN"/>
                <w14:textFill>
                  <w14:solidFill>
                    <w14:schemeClr w14:val="tx1"/>
                  </w14:solidFill>
                </w14:textFill>
              </w:rPr>
              <w:t>260份</w:t>
            </w:r>
          </w:p>
        </w:tc>
        <w:tc>
          <w:tcPr>
            <w:tcW w:w="1650" w:type="dxa"/>
            <w:shd w:val="clear" w:color="auto" w:fill="FFFFFF"/>
            <w:noWrap w:val="0"/>
            <w:vAlign w:val="center"/>
          </w:tcPr>
          <w:p w14:paraId="086EA8C6">
            <w:pPr>
              <w:keepNext w:val="0"/>
              <w:keepLines w:val="0"/>
              <w:pageBreakBefore w:val="0"/>
              <w:widowControl/>
              <w:kinsoku/>
              <w:wordWrap/>
              <w:overflowPunct/>
              <w:topLinePunct w:val="0"/>
              <w:autoSpaceDE/>
              <w:autoSpaceDN/>
              <w:bidi w:val="0"/>
              <w:adjustRightInd/>
              <w:snapToGrid/>
              <w:spacing w:line="320" w:lineRule="exact"/>
              <w:ind w:left="0" w:leftChars="0" w:right="0" w:rightChars="0"/>
              <w:jc w:val="center"/>
              <w:textAlignment w:val="auto"/>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highlight w:val="none"/>
                <w:lang w:val="en-US" w:eastAsia="zh-CN"/>
                <w14:textFill>
                  <w14:solidFill>
                    <w14:schemeClr w14:val="tx1"/>
                  </w14:solidFill>
                </w14:textFill>
              </w:rPr>
              <w:t>30</w:t>
            </w:r>
            <w:r>
              <w:rPr>
                <w:rFonts w:hint="eastAsia" w:ascii="仿宋_GB2312" w:hAnsi="仿宋_GB2312" w:eastAsia="仿宋_GB2312" w:cs="仿宋_GB2312"/>
                <w:color w:val="000000" w:themeColor="text1"/>
                <w:kern w:val="0"/>
                <w:sz w:val="24"/>
                <w:szCs w:val="24"/>
                <w:highlight w:val="none"/>
                <w14:textFill>
                  <w14:solidFill>
                    <w14:schemeClr w14:val="tx1"/>
                  </w14:solidFill>
                </w14:textFill>
              </w:rPr>
              <w:t>元</w:t>
            </w:r>
            <w:r>
              <w:rPr>
                <w:rFonts w:hint="eastAsia" w:ascii="仿宋_GB2312" w:hAnsi="仿宋_GB2312" w:eastAsia="仿宋_GB2312" w:cs="仿宋_GB2312"/>
                <w:color w:val="000000" w:themeColor="text1"/>
                <w:kern w:val="0"/>
                <w:sz w:val="24"/>
                <w:szCs w:val="24"/>
                <w:highlight w:val="none"/>
                <w:lang w:val="en-US" w:eastAsia="zh-CN"/>
                <w14:textFill>
                  <w14:solidFill>
                    <w14:schemeClr w14:val="tx1"/>
                  </w14:solidFill>
                </w14:textFill>
              </w:rPr>
              <w:t>/份</w:t>
            </w:r>
          </w:p>
        </w:tc>
        <w:tc>
          <w:tcPr>
            <w:tcW w:w="1192" w:type="dxa"/>
            <w:shd w:val="clear" w:color="auto" w:fill="FFFFFF"/>
            <w:noWrap w:val="0"/>
            <w:vAlign w:val="center"/>
          </w:tcPr>
          <w:p w14:paraId="28E09426">
            <w:pPr>
              <w:keepNext w:val="0"/>
              <w:keepLines w:val="0"/>
              <w:pageBreakBefore w:val="0"/>
              <w:widowControl w:val="0"/>
              <w:kinsoku/>
              <w:wordWrap/>
              <w:overflowPunct/>
              <w:topLinePunct w:val="0"/>
              <w:autoSpaceDE/>
              <w:autoSpaceDN/>
              <w:bidi w:val="0"/>
              <w:adjustRightInd/>
              <w:snapToGrid/>
              <w:spacing w:line="320" w:lineRule="exact"/>
              <w:ind w:left="0" w:right="0" w:rightChars="0"/>
              <w:jc w:val="center"/>
              <w:textAlignment w:val="auto"/>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t>据实结算</w:t>
            </w:r>
          </w:p>
        </w:tc>
      </w:tr>
      <w:tr w14:paraId="0267B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295" w:type="dxa"/>
            <w:gridSpan w:val="3"/>
            <w:shd w:val="clear" w:color="auto" w:fill="FFFFFF"/>
            <w:noWrap w:val="0"/>
            <w:vAlign w:val="center"/>
          </w:tcPr>
          <w:p w14:paraId="541EFA3B">
            <w:pPr>
              <w:keepNext w:val="0"/>
              <w:keepLines w:val="0"/>
              <w:pageBreakBefore w:val="0"/>
              <w:widowControl w:val="0"/>
              <w:kinsoku/>
              <w:wordWrap/>
              <w:overflowPunct/>
              <w:topLinePunct w:val="0"/>
              <w:autoSpaceDE/>
              <w:autoSpaceDN/>
              <w:bidi w:val="0"/>
              <w:adjustRightInd/>
              <w:snapToGrid/>
              <w:spacing w:line="320" w:lineRule="exact"/>
              <w:ind w:left="0" w:right="0" w:rightChars="0"/>
              <w:jc w:val="center"/>
              <w:textAlignment w:val="auto"/>
              <w:rPr>
                <w:rFonts w:hint="eastAsia" w:ascii="仿宋_GB2312" w:hAnsi="仿宋_GB2312" w:eastAsia="仿宋_GB2312" w:cs="仿宋_GB2312"/>
                <w:b w:val="0"/>
                <w:bCs w:val="0"/>
                <w:color w:val="000000" w:themeColor="text1"/>
                <w:spacing w:val="0"/>
                <w:sz w:val="24"/>
                <w:szCs w:val="24"/>
                <w:highlight w:val="none"/>
                <w14:textFill>
                  <w14:solidFill>
                    <w14:schemeClr w14:val="tx1"/>
                  </w14:solidFill>
                </w14:textFill>
              </w:rPr>
            </w:pPr>
            <w:r>
              <w:rPr>
                <w:rFonts w:hint="eastAsia" w:ascii="仿宋_GB2312" w:hAnsi="仿宋_GB2312" w:eastAsia="仿宋_GB2312" w:cs="仿宋_GB2312"/>
                <w:b w:val="0"/>
                <w:bCs w:val="0"/>
                <w:color w:val="000000" w:themeColor="text1"/>
                <w:sz w:val="24"/>
                <w:szCs w:val="24"/>
                <w:highlight w:val="none"/>
                <w:lang w:val="en-US" w:eastAsia="zh-CN"/>
                <w14:textFill>
                  <w14:solidFill>
                    <w14:schemeClr w14:val="tx1"/>
                  </w14:solidFill>
                </w14:textFill>
              </w:rPr>
              <w:t>最高单价限价</w:t>
            </w:r>
            <w:r>
              <w:rPr>
                <w:rFonts w:hint="eastAsia" w:ascii="仿宋_GB2312" w:hAnsi="仿宋_GB2312" w:eastAsia="仿宋_GB2312" w:cs="仿宋_GB2312"/>
                <w:b w:val="0"/>
                <w:bCs w:val="0"/>
                <w:color w:val="000000" w:themeColor="text1"/>
                <w:spacing w:val="0"/>
                <w:sz w:val="24"/>
                <w:szCs w:val="24"/>
                <w:highlight w:val="none"/>
                <w:lang w:val="en-US" w:eastAsia="zh-CN"/>
                <w14:textFill>
                  <w14:solidFill>
                    <w14:schemeClr w14:val="tx1"/>
                  </w14:solidFill>
                </w14:textFill>
              </w:rPr>
              <w:t>合计</w:t>
            </w:r>
            <w:r>
              <w:rPr>
                <w:rFonts w:hint="eastAsia" w:ascii="仿宋_GB2312" w:hAnsi="仿宋_GB2312" w:eastAsia="仿宋_GB2312" w:cs="仿宋_GB2312"/>
                <w:b w:val="0"/>
                <w:bCs w:val="0"/>
                <w:color w:val="000000" w:themeColor="text1"/>
                <w:spacing w:val="0"/>
                <w:sz w:val="24"/>
                <w:szCs w:val="24"/>
                <w:highlight w:val="none"/>
                <w14:textFill>
                  <w14:solidFill>
                    <w14:schemeClr w14:val="tx1"/>
                  </w14:solidFill>
                </w14:textFill>
              </w:rPr>
              <w:t>（含税）</w:t>
            </w:r>
          </w:p>
        </w:tc>
        <w:tc>
          <w:tcPr>
            <w:tcW w:w="3905" w:type="dxa"/>
            <w:gridSpan w:val="3"/>
            <w:shd w:val="clear" w:color="auto" w:fill="FFFFFF"/>
            <w:noWrap w:val="0"/>
            <w:vAlign w:val="center"/>
          </w:tcPr>
          <w:p w14:paraId="36D3A48D">
            <w:pPr>
              <w:keepNext w:val="0"/>
              <w:keepLines w:val="0"/>
              <w:pageBreakBefore w:val="0"/>
              <w:widowControl w:val="0"/>
              <w:kinsoku/>
              <w:wordWrap/>
              <w:overflowPunct/>
              <w:topLinePunct w:val="0"/>
              <w:autoSpaceDE/>
              <w:autoSpaceDN/>
              <w:bidi w:val="0"/>
              <w:adjustRightInd/>
              <w:snapToGrid/>
              <w:spacing w:line="320" w:lineRule="exact"/>
              <w:ind w:left="0" w:right="0" w:rightChars="0"/>
              <w:jc w:val="center"/>
              <w:textAlignment w:val="auto"/>
              <w:rPr>
                <w:rFonts w:hint="default" w:ascii="仿宋_GB2312" w:hAnsi="仿宋_GB2312" w:eastAsia="仿宋_GB2312" w:cs="仿宋_GB2312"/>
                <w:b w:val="0"/>
                <w:bCs w:val="0"/>
                <w:color w:val="000000" w:themeColor="text1"/>
                <w:spacing w:val="0"/>
                <w:kern w:val="0"/>
                <w:sz w:val="24"/>
                <w:szCs w:val="24"/>
                <w:highlight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0"/>
                <w:kern w:val="0"/>
                <w:sz w:val="24"/>
                <w:szCs w:val="24"/>
                <w:highlight w:val="none"/>
                <w:lang w:val="en-US" w:eastAsia="zh-CN"/>
                <w14:textFill>
                  <w14:solidFill>
                    <w14:schemeClr w14:val="tx1"/>
                  </w14:solidFill>
                </w14:textFill>
              </w:rPr>
              <w:t>210</w:t>
            </w:r>
            <w:r>
              <w:rPr>
                <w:rFonts w:hint="eastAsia" w:ascii="仿宋_GB2312" w:hAnsi="仿宋_GB2312" w:eastAsia="仿宋_GB2312" w:cs="仿宋_GB2312"/>
                <w:b w:val="0"/>
                <w:bCs w:val="0"/>
                <w:color w:val="000000" w:themeColor="text1"/>
                <w:spacing w:val="0"/>
                <w:kern w:val="0"/>
                <w:sz w:val="24"/>
                <w:szCs w:val="24"/>
                <w:highlight w:val="none"/>
                <w14:textFill>
                  <w14:solidFill>
                    <w14:schemeClr w14:val="tx1"/>
                  </w14:solidFill>
                </w14:textFill>
              </w:rPr>
              <w:t>元</w:t>
            </w:r>
            <w:r>
              <w:rPr>
                <w:rFonts w:hint="eastAsia" w:ascii="仿宋_GB2312" w:hAnsi="仿宋_GB2312" w:eastAsia="仿宋_GB2312" w:cs="仿宋_GB2312"/>
                <w:b w:val="0"/>
                <w:bCs w:val="0"/>
                <w:color w:val="000000" w:themeColor="text1"/>
                <w:spacing w:val="0"/>
                <w:kern w:val="0"/>
                <w:sz w:val="24"/>
                <w:szCs w:val="24"/>
                <w:highlight w:val="none"/>
                <w:lang w:val="en-US" w:eastAsia="zh-CN"/>
                <w14:textFill>
                  <w14:solidFill>
                    <w14:schemeClr w14:val="tx1"/>
                  </w14:solidFill>
                </w14:textFill>
              </w:rPr>
              <w:t>/份</w:t>
            </w:r>
          </w:p>
        </w:tc>
      </w:tr>
      <w:tr w14:paraId="7F52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9200" w:type="dxa"/>
            <w:gridSpan w:val="6"/>
            <w:shd w:val="clear" w:color="auto" w:fill="FFFFFF"/>
            <w:noWrap w:val="0"/>
            <w:vAlign w:val="center"/>
          </w:tcPr>
          <w:p w14:paraId="4DA5E042">
            <w:pPr>
              <w:keepNext w:val="0"/>
              <w:keepLines w:val="0"/>
              <w:pageBreakBefore w:val="0"/>
              <w:widowControl w:val="0"/>
              <w:kinsoku/>
              <w:wordWrap/>
              <w:overflowPunct/>
              <w:topLinePunct w:val="0"/>
              <w:autoSpaceDE/>
              <w:autoSpaceDN/>
              <w:bidi w:val="0"/>
              <w:adjustRightInd/>
              <w:snapToGrid/>
              <w:spacing w:line="320" w:lineRule="exact"/>
              <w:ind w:left="0" w:right="0" w:rightChars="0"/>
              <w:jc w:val="both"/>
              <w:textAlignment w:val="auto"/>
              <w:rPr>
                <w:rFonts w:hint="eastAsia" w:ascii="仿宋_GB2312" w:hAnsi="仿宋_GB2312" w:eastAsia="仿宋_GB2312" w:cs="仿宋_GB2312"/>
                <w:color w:val="000000" w:themeColor="text1"/>
                <w:spacing w:val="0"/>
                <w:kern w:val="0"/>
                <w:sz w:val="24"/>
                <w:szCs w:val="24"/>
                <w:highlight w:val="none"/>
                <w14:textFill>
                  <w14:solidFill>
                    <w14:schemeClr w14:val="tx1"/>
                  </w14:solidFill>
                </w14:textFill>
              </w:rPr>
            </w:pPr>
            <w:r>
              <w:rPr>
                <w:rFonts w:hint="eastAsia" w:ascii="仿宋_GB2312" w:hAnsi="仿宋_GB2312" w:eastAsia="仿宋_GB2312" w:cs="仿宋_GB2312"/>
                <w:color w:val="000000" w:themeColor="text1"/>
                <w:spacing w:val="0"/>
                <w:kern w:val="0"/>
                <w:sz w:val="24"/>
                <w:szCs w:val="24"/>
                <w:highlight w:val="none"/>
                <w14:textFill>
                  <w14:solidFill>
                    <w14:schemeClr w14:val="tx1"/>
                  </w14:solidFill>
                </w14:textFill>
              </w:rPr>
              <w:t>备注：</w:t>
            </w:r>
          </w:p>
          <w:p w14:paraId="28F83208">
            <w:pPr>
              <w:keepNext w:val="0"/>
              <w:keepLines w:val="0"/>
              <w:pageBreakBefore w:val="0"/>
              <w:widowControl w:val="0"/>
              <w:kinsoku/>
              <w:wordWrap/>
              <w:overflowPunct/>
              <w:topLinePunct w:val="0"/>
              <w:autoSpaceDE/>
              <w:autoSpaceDN/>
              <w:bidi w:val="0"/>
              <w:adjustRightInd/>
              <w:snapToGrid/>
              <w:spacing w:line="320" w:lineRule="exact"/>
              <w:ind w:left="0" w:right="0" w:rightChars="0"/>
              <w:jc w:val="both"/>
              <w:textAlignment w:val="auto"/>
              <w:rPr>
                <w:rFonts w:hint="eastAsia" w:ascii="仿宋_GB2312" w:hAnsi="仿宋_GB2312" w:eastAsia="仿宋_GB2312" w:cs="仿宋_GB2312"/>
                <w:color w:val="000000" w:themeColor="text1"/>
                <w:spacing w:val="0"/>
                <w:kern w:val="0"/>
                <w:sz w:val="24"/>
                <w:szCs w:val="24"/>
                <w:highlight w:val="none"/>
                <w14:textFill>
                  <w14:solidFill>
                    <w14:schemeClr w14:val="tx1"/>
                  </w14:solidFill>
                </w14:textFill>
              </w:rPr>
            </w:pPr>
            <w:r>
              <w:rPr>
                <w:rFonts w:hint="eastAsia" w:ascii="仿宋_GB2312" w:hAnsi="仿宋_GB2312" w:eastAsia="仿宋_GB2312" w:cs="仿宋_GB2312"/>
                <w:color w:val="000000" w:themeColor="text1"/>
                <w:spacing w:val="0"/>
                <w:kern w:val="0"/>
                <w:sz w:val="24"/>
                <w:szCs w:val="24"/>
                <w:highlight w:val="none"/>
                <w14:textFill>
                  <w14:solidFill>
                    <w14:schemeClr w14:val="tx1"/>
                  </w14:solidFill>
                </w14:textFill>
              </w:rPr>
              <w:t>1.该价为验收合格后交付使用的价格，包括人工费、设备费、售后服务费、税费</w:t>
            </w:r>
            <w:r>
              <w:rPr>
                <w:rFonts w:hint="eastAsia" w:ascii="仿宋_GB2312" w:hAnsi="仿宋_GB2312" w:eastAsia="仿宋_GB2312" w:cs="仿宋_GB2312"/>
                <w:color w:val="000000" w:themeColor="text1"/>
                <w:spacing w:val="0"/>
                <w:kern w:val="0"/>
                <w:sz w:val="24"/>
                <w:szCs w:val="24"/>
                <w:highlight w:val="none"/>
                <w:lang w:eastAsia="zh-CN"/>
                <w14:textFill>
                  <w14:solidFill>
                    <w14:schemeClr w14:val="tx1"/>
                  </w14:solidFill>
                </w14:textFill>
              </w:rPr>
              <w:t>、</w:t>
            </w:r>
            <w:r>
              <w:rPr>
                <w:rFonts w:hint="eastAsia" w:ascii="仿宋_GB2312" w:hAnsi="仿宋_GB2312" w:eastAsia="仿宋_GB2312" w:cs="仿宋_GB2312"/>
                <w:color w:val="000000" w:themeColor="text1"/>
                <w:spacing w:val="0"/>
                <w:kern w:val="0"/>
                <w:sz w:val="24"/>
                <w:szCs w:val="24"/>
                <w:highlight w:val="none"/>
                <w:lang w:val="en-US" w:eastAsia="zh-CN"/>
                <w14:textFill>
                  <w14:solidFill>
                    <w14:schemeClr w14:val="tx1"/>
                  </w14:solidFill>
                </w14:textFill>
              </w:rPr>
              <w:t>数字化加工耗材</w:t>
            </w:r>
            <w:r>
              <w:rPr>
                <w:rFonts w:hint="eastAsia" w:ascii="仿宋_GB2312" w:hAnsi="仿宋_GB2312" w:eastAsia="仿宋_GB2312" w:cs="仿宋_GB2312"/>
                <w:color w:val="000000" w:themeColor="text1"/>
                <w:spacing w:val="0"/>
                <w:kern w:val="0"/>
                <w:sz w:val="24"/>
                <w:szCs w:val="24"/>
                <w:highlight w:val="none"/>
                <w14:textFill>
                  <w14:solidFill>
                    <w14:schemeClr w14:val="tx1"/>
                  </w14:solidFill>
                </w14:textFill>
              </w:rPr>
              <w:t>等。不因劳务、技术服务等成本的价格变动等其他因素而调整合同单价。</w:t>
            </w:r>
          </w:p>
          <w:p w14:paraId="04B3DC9D">
            <w:pPr>
              <w:keepNext w:val="0"/>
              <w:keepLines w:val="0"/>
              <w:pageBreakBefore w:val="0"/>
              <w:widowControl w:val="0"/>
              <w:kinsoku/>
              <w:wordWrap/>
              <w:overflowPunct/>
              <w:topLinePunct w:val="0"/>
              <w:autoSpaceDE/>
              <w:autoSpaceDN/>
              <w:bidi w:val="0"/>
              <w:adjustRightInd/>
              <w:snapToGrid/>
              <w:spacing w:line="320" w:lineRule="exact"/>
              <w:ind w:left="0" w:right="0" w:rightChars="0"/>
              <w:jc w:val="both"/>
              <w:textAlignment w:val="auto"/>
              <w:rPr>
                <w:rFonts w:hint="eastAsia" w:ascii="仿宋_GB2312" w:hAnsi="仿宋_GB2312" w:eastAsia="仿宋_GB2312" w:cs="仿宋_GB2312"/>
                <w:b/>
                <w:color w:val="000000" w:themeColor="text1"/>
                <w:spacing w:val="0"/>
                <w:kern w:val="0"/>
                <w:sz w:val="24"/>
                <w:szCs w:val="24"/>
                <w:highlight w:val="none"/>
                <w14:textFill>
                  <w14:solidFill>
                    <w14:schemeClr w14:val="tx1"/>
                  </w14:solidFill>
                </w14:textFill>
              </w:rPr>
            </w:pPr>
            <w:r>
              <w:rPr>
                <w:rFonts w:hint="eastAsia" w:ascii="仿宋_GB2312" w:hAnsi="仿宋_GB2312" w:eastAsia="仿宋_GB2312" w:cs="仿宋_GB2312"/>
                <w:color w:val="000000" w:themeColor="text1"/>
                <w:spacing w:val="0"/>
                <w:kern w:val="0"/>
                <w:sz w:val="24"/>
                <w:szCs w:val="24"/>
                <w:highlight w:val="none"/>
                <w14:textFill>
                  <w14:solidFill>
                    <w14:schemeClr w14:val="tx1"/>
                  </w14:solidFill>
                </w14:textFill>
              </w:rPr>
              <w:t>2.最终结算以合同价格及实际加工数量为准进行结算。</w:t>
            </w:r>
          </w:p>
        </w:tc>
      </w:tr>
    </w:tbl>
    <w:p w14:paraId="1FB31A71">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firstLine="612" w:firstLineChars="200"/>
        <w:textAlignment w:val="auto"/>
        <w:outlineLvl w:val="1"/>
        <w:rPr>
          <w:rFonts w:hint="eastAsia" w:ascii="Times New Roman" w:hAnsi="Times New Roman" w:eastAsia="黑体" w:cs="Times New Roman"/>
          <w:color w:val="auto"/>
          <w:spacing w:val="0"/>
          <w:sz w:val="32"/>
          <w:szCs w:val="32"/>
          <w:lang w:val="en-US" w:eastAsia="zh-CN"/>
        </w:rPr>
      </w:pPr>
      <w:r>
        <w:rPr>
          <w:rFonts w:hint="eastAsia" w:ascii="Times New Roman" w:hAnsi="Times New Roman" w:eastAsia="黑体" w:cs="Times New Roman"/>
          <w:color w:val="auto"/>
          <w:spacing w:val="0"/>
          <w:sz w:val="32"/>
          <w:szCs w:val="32"/>
          <w:lang w:val="en-US" w:eastAsia="zh-CN"/>
        </w:rPr>
        <w:t>支付方式</w:t>
      </w:r>
    </w:p>
    <w:p w14:paraId="6A97D0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12" w:firstLineChars="200"/>
        <w:textAlignment w:val="auto"/>
        <w:rPr>
          <w:rFonts w:hint="default" w:ascii="Times New Roman" w:hAnsi="Times New Roman" w:eastAsia="仿宋_GB2312" w:cs="Times New Roman"/>
          <w:color w:val="000000" w:themeColor="text1"/>
          <w:spacing w:val="0"/>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pacing w:val="0"/>
          <w:sz w:val="32"/>
          <w:szCs w:val="32"/>
          <w:lang w:val="en-US" w:eastAsia="zh-CN"/>
          <w14:textFill>
            <w14:solidFill>
              <w14:schemeClr w14:val="tx1"/>
            </w14:solidFill>
          </w14:textFill>
        </w:rPr>
        <w:t>完成全部档案数字化服务工作并验收合格后，供应商提供等额正式发票后30日内支付服务费用</w:t>
      </w:r>
      <w:r>
        <w:rPr>
          <w:rFonts w:hint="eastAsia" w:ascii="Times New Roman" w:hAnsi="Times New Roman" w:eastAsia="仿宋_GB2312" w:cs="Times New Roman"/>
          <w:color w:val="000000" w:themeColor="text1"/>
          <w:spacing w:val="0"/>
          <w:sz w:val="32"/>
          <w:szCs w:val="32"/>
          <w:lang w:val="en-US" w:eastAsia="zh-CN"/>
          <w14:textFill>
            <w14:solidFill>
              <w14:schemeClr w14:val="tx1"/>
            </w14:solidFill>
          </w14:textFill>
        </w:rPr>
        <w:t>。</w:t>
      </w:r>
    </w:p>
    <w:p w14:paraId="6304338E">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firstLine="612" w:firstLineChars="200"/>
        <w:textAlignment w:val="auto"/>
        <w:outlineLvl w:val="1"/>
        <w:rPr>
          <w:rFonts w:hint="eastAsia" w:ascii="Times New Roman" w:hAnsi="Times New Roman" w:eastAsia="黑体" w:cs="Times New Roman"/>
          <w:color w:val="000000" w:themeColor="text1"/>
          <w:spacing w:val="0"/>
          <w:sz w:val="32"/>
          <w:szCs w:val="32"/>
          <w:lang w:val="en-US" w:eastAsia="zh-CN"/>
          <w14:textFill>
            <w14:solidFill>
              <w14:schemeClr w14:val="tx1"/>
            </w14:solidFill>
          </w14:textFill>
        </w:rPr>
      </w:pPr>
      <w:r>
        <w:rPr>
          <w:rFonts w:hint="eastAsia" w:ascii="Times New Roman" w:hAnsi="Times New Roman" w:eastAsia="黑体" w:cs="Times New Roman"/>
          <w:color w:val="000000" w:themeColor="text1"/>
          <w:spacing w:val="0"/>
          <w:sz w:val="32"/>
          <w:szCs w:val="32"/>
          <w:lang w:val="en-US" w:eastAsia="zh-CN"/>
          <w14:textFill>
            <w14:solidFill>
              <w14:schemeClr w14:val="tx1"/>
            </w14:solidFill>
          </w14:textFill>
        </w:rPr>
        <w:t>项目验收</w:t>
      </w:r>
    </w:p>
    <w:p w14:paraId="1E8DCAD1">
      <w:pPr>
        <w:keepNext w:val="0"/>
        <w:keepLines w:val="0"/>
        <w:pageBreakBefore w:val="0"/>
        <w:widowControl w:val="0"/>
        <w:kinsoku/>
        <w:wordWrap/>
        <w:overflowPunct/>
        <w:topLinePunct w:val="0"/>
        <w:autoSpaceDE/>
        <w:autoSpaceDN/>
        <w:bidi w:val="0"/>
        <w:adjustRightInd/>
        <w:snapToGrid/>
        <w:spacing w:line="560" w:lineRule="exact"/>
        <w:ind w:firstLine="612" w:firstLineChars="200"/>
        <w:textAlignment w:val="auto"/>
        <w:rPr>
          <w:rFonts w:hint="eastAsia" w:ascii="仿宋_GB2312" w:hAnsi="仿宋_GB2312" w:eastAsia="仿宋_GB2312" w:cs="仿宋_GB2312"/>
          <w:color w:val="000000" w:themeColor="text1"/>
          <w:spacing w:val="0"/>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pacing w:val="0"/>
          <w:sz w:val="32"/>
          <w:szCs w:val="32"/>
          <w:lang w:val="en-US" w:eastAsia="zh-CN"/>
          <w14:textFill>
            <w14:solidFill>
              <w14:schemeClr w14:val="tx1"/>
            </w14:solidFill>
          </w14:textFill>
        </w:rPr>
        <w:t>根据本合同约定的制作标准和质量要求，对已完成的项目成果进行全部验收，验收合格需经双方签名确认。若验收不合格的，无条件予以整改直至验收合格。</w:t>
      </w:r>
    </w:p>
    <w:sectPr>
      <w:pgSz w:w="11906" w:h="16838"/>
      <w:pgMar w:top="2098" w:right="1474" w:bottom="1984" w:left="1587" w:header="851" w:footer="992" w:gutter="0"/>
      <w:cols w:space="0" w:num="1"/>
      <w:rtlGutter w:val="0"/>
      <w:docGrid w:type="linesAndChars" w:linePitch="579" w:charSpace="-30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2460854-029A-46F6-BC0D-BF520090160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6A638044-4ABA-4698-98A4-2E1F18D67222}"/>
  </w:font>
  <w:font w:name="方正小标宋简体">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3" w:fontKey="{F3A224F0-D825-4D1E-BD41-602EB573EBD3}"/>
  </w:font>
  <w:font w:name="楷体_GB2312">
    <w:panose1 w:val="02010609030101010101"/>
    <w:charset w:val="86"/>
    <w:family w:val="auto"/>
    <w:pitch w:val="default"/>
    <w:sig w:usb0="00000001" w:usb1="080E0000" w:usb2="00000000" w:usb3="00000000" w:csb0="00040000" w:csb1="00000000"/>
    <w:embedRegular r:id="rId4" w:fontKey="{AA79679D-1CF7-40AF-9161-81EE930F96CB}"/>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B22A60"/>
    <w:multiLevelType w:val="singleLevel"/>
    <w:tmpl w:val="20B22A6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TrueTypeFonts/>
  <w:saveSubsetFonts/>
  <w:bordersDoNotSurroundHeader w:val="0"/>
  <w:bordersDoNotSurroundFooter w:val="0"/>
  <w:documentProtection w:enforcement="0"/>
  <w:defaultTabStop w:val="420"/>
  <w:drawingGridHorizontalSpacing w:val="153"/>
  <w:drawingGridVerticalSpacing w:val="2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06938"/>
    <w:rsid w:val="012C09E6"/>
    <w:rsid w:val="01510F6A"/>
    <w:rsid w:val="0E6A286C"/>
    <w:rsid w:val="133C0627"/>
    <w:rsid w:val="13A727EB"/>
    <w:rsid w:val="14A90ACB"/>
    <w:rsid w:val="182C7901"/>
    <w:rsid w:val="1E760389"/>
    <w:rsid w:val="1EC03423"/>
    <w:rsid w:val="1FD44489"/>
    <w:rsid w:val="20672C08"/>
    <w:rsid w:val="268275C3"/>
    <w:rsid w:val="274A695E"/>
    <w:rsid w:val="27936112"/>
    <w:rsid w:val="2CF147C0"/>
    <w:rsid w:val="2FFE70AB"/>
    <w:rsid w:val="31D37162"/>
    <w:rsid w:val="34D36666"/>
    <w:rsid w:val="389F7AE8"/>
    <w:rsid w:val="3FB66B56"/>
    <w:rsid w:val="423C79D0"/>
    <w:rsid w:val="444E5D09"/>
    <w:rsid w:val="4886416F"/>
    <w:rsid w:val="49A62E0C"/>
    <w:rsid w:val="535654BC"/>
    <w:rsid w:val="599D38CA"/>
    <w:rsid w:val="5BA5225B"/>
    <w:rsid w:val="62D358FF"/>
    <w:rsid w:val="648A67CB"/>
    <w:rsid w:val="65B95960"/>
    <w:rsid w:val="69C64DBF"/>
    <w:rsid w:val="6BC418EF"/>
    <w:rsid w:val="71BE3C1E"/>
    <w:rsid w:val="73AF1FC8"/>
    <w:rsid w:val="750C4CA1"/>
    <w:rsid w:val="75E97E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32"/>
      <w:sz w:val="32"/>
      <w:szCs w:val="3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Indent 3"/>
    <w:basedOn w:val="1"/>
    <w:next w:val="1"/>
    <w:qFormat/>
    <w:uiPriority w:val="0"/>
    <w:pPr>
      <w:spacing w:line="360" w:lineRule="auto"/>
      <w:ind w:firstLine="200" w:firstLineChars="200"/>
    </w:pPr>
    <w:rPr>
      <w:rFonts w:cs="Times New Roman"/>
      <w:kern w:val="0"/>
      <w:sz w:val="20"/>
      <w:szCs w:val="20"/>
    </w:rPr>
  </w:style>
  <w:style w:type="paragraph" w:customStyle="1" w:styleId="5">
    <w:name w:val="_Style 3"/>
    <w:basedOn w:val="1"/>
    <w:next w:val="2"/>
    <w:qFormat/>
    <w:uiPriority w:val="0"/>
    <w:pPr>
      <w:widowControl/>
      <w:ind w:left="720"/>
      <w:contextualSpacing/>
      <w:jc w:val="left"/>
    </w:pPr>
    <w:rPr>
      <w:rFonts w:cs="Times New Roman"/>
      <w:kern w:val="0"/>
      <w:sz w:val="24"/>
    </w:rPr>
  </w:style>
  <w:style w:type="paragraph" w:styleId="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90946878-58c6-41b4-b3cf-558a075aaea6</errorID>
      <errorWord>&gt;</errorWord>
      <group>L1_Format</group>
      <groupName>格式问题</groupName>
      <ability>L2_HalfPunc_CN</ability>
      <abilityName>全半角检查</abilityName>
      <candidateList>
        <item>〉</item>
      </candidateList>
      <explain>文本全半角错误。</explain>
      <paraID>12CB392A</paraID>
      <start>22</start>
      <end>23</end>
      <status>ignored</status>
      <modifiedWord/>
      <trackRevisions>false</trackRevisions>
    </reviewItem>
    <reviewItem>
      <errorID>2b71d2a7-0057-46de-aaa1-6907f5afdc93</errorID>
      <errorWord>&gt;</errorWord>
      <group>L1_Format</group>
      <groupName>格式问题</groupName>
      <ability>L2_HalfPunc_CN</ability>
      <abilityName>全半角检查</abilityName>
      <candidateList>
        <item>〉</item>
      </candidateList>
      <explain>文本全半角错误。</explain>
      <paraID>62F9C862</paraID>
      <start>69</start>
      <end>70</end>
      <status>ignored</status>
      <modifiedWord/>
      <trackRevisions>false</trackRevisions>
    </reviewItem>
    <reviewItem>
      <errorID>e18049ab-ce7a-4363-8d07-9e61ff5eaf84</errorID>
      <errorWord>存贮</errorWord>
      <group>L1_Word</group>
      <groupName>字词问题</groupName>
      <ability>L2_Typo</ability>
      <abilityName>字词错误</abilityName>
      <candidateList>
        <item>存储</item>
      </candidateList>
      <explain/>
      <paraID> 9355B96</paraID>
      <start>2</start>
      <end>4</end>
      <status>modified</status>
      <modifiedWord>存储</modifiedWord>
      <trackRevisions>false</trackRevisions>
    </reviewItem>
    <reviewItem>
      <errorID>f41bca64-6e16-401a-aac7-8346a3442fd4</errorID>
      <errorWord>不得</errorWord>
      <group>L1_Grammar</group>
      <groupName>语法问题</groupName>
      <ability>L2_Grammar</ability>
      <abilityName>语法错误</abilityName>
      <candidateList>
        <item>，则不得</item>
      </candidateList>
      <explain/>
      <paraID>574B6BAF</paraID>
      <start>55</start>
      <end>57</end>
      <status>ignored</status>
      <modifiedWord/>
      <trackRevisions>false</trackRevisions>
    </reviewItem>
  </reviewItems>
  <config/>
</contractReview>
</file>

<file path=customXml/itemProps1.xml><?xml version="1.0" encoding="utf-8"?>
<ds:datastoreItem xmlns:ds="http://schemas.openxmlformats.org/officeDocument/2006/customXml" ds:itemID="{51d726fa-1e84-4e2d-aeb7-e4b000e63067}">
  <ds:schemaRefs/>
</ds:datastoreItem>
</file>

<file path=docProps/app.xml><?xml version="1.0" encoding="utf-8"?>
<Properties xmlns="http://schemas.openxmlformats.org/officeDocument/2006/extended-properties" xmlns:vt="http://schemas.openxmlformats.org/officeDocument/2006/docPropsVTypes">
  <Template>Normal.dotm</Template>
  <Pages>7</Pages>
  <Words>2567</Words>
  <Characters>2669</Characters>
  <Lines>0</Lines>
  <Paragraphs>0</Paragraphs>
  <TotalTime>1</TotalTime>
  <ScaleCrop>false</ScaleCrop>
  <LinksUpToDate>false</LinksUpToDate>
  <CharactersWithSpaces>2685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2025-09-29T03:32:00Z</dcterms:created>
  <dc:creator>HP</dc:creator>
  <cp:lastModifiedBy>flystrong</cp:lastModifiedBy>
  <dcterms:modified xsi:type="dcterms:W3CDTF">2026-06-12T01:20:28Z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eyJoZGlkIjoiN2Q3YWNjOWNhZjVkNmRiNTViYzAwMjBhMzJlMDQ3MDAiLCJ1c2VySWQiOiIyNTk1MDQ5MjAifQ==</vt:lpwstr>
  </property>
  <property fmtid="{D5CDD505-2E9C-101B-9397-08002B2CF9AE}" pid="4" name="ICV">
    <vt:lpwstr>45F414058C7F403CAA79A0E97156B300_13</vt:lpwstr>
  </property>
</Properties>
</file>